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119" w:rsidRPr="00444771" w:rsidRDefault="00F12119">
      <w:pPr>
        <w:rPr>
          <w:b/>
        </w:rPr>
      </w:pPr>
      <w:r w:rsidRPr="00444771">
        <w:rPr>
          <w:b/>
        </w:rPr>
        <w:t>MJC FACULTY LEARNING COMMUNITY REPORT FOR Ginger Charles and Hans Hauselmann</w:t>
      </w:r>
    </w:p>
    <w:p w:rsidR="00F12119" w:rsidRDefault="00F12119">
      <w:r>
        <w:t xml:space="preserve">Fall 2015 </w:t>
      </w:r>
      <w:r w:rsidR="00444771">
        <w:t>(September 5) to</w:t>
      </w:r>
      <w:r>
        <w:t xml:space="preserve"> May 2016</w:t>
      </w:r>
      <w:r w:rsidR="00444771">
        <w:t xml:space="preserve"> (May 5)</w:t>
      </w:r>
    </w:p>
    <w:p w:rsidR="00FD4208" w:rsidRDefault="00437BC2">
      <w:r>
        <w:t>FACULTY LEARNING COMMUNITY – EVERY 3</w:t>
      </w:r>
      <w:r w:rsidRPr="00437BC2">
        <w:rPr>
          <w:vertAlign w:val="superscript"/>
        </w:rPr>
        <w:t>RD</w:t>
      </w:r>
      <w:r>
        <w:t xml:space="preserve"> WEEK – THURSDAY EVE</w:t>
      </w:r>
    </w:p>
    <w:p w:rsidR="00437BC2" w:rsidRDefault="00F12119">
      <w:r>
        <w:t>Bolded names are core members.</w:t>
      </w:r>
    </w:p>
    <w:p w:rsidR="00F12119" w:rsidRDefault="00F12119" w:rsidP="00437BC2">
      <w:pPr>
        <w:pStyle w:val="ListParagraph"/>
        <w:numPr>
          <w:ilvl w:val="0"/>
          <w:numId w:val="1"/>
        </w:numPr>
        <w:sectPr w:rsidR="00F12119">
          <w:pgSz w:w="12240" w:h="15840"/>
          <w:pgMar w:top="1440" w:right="1440" w:bottom="1440" w:left="1440" w:header="720" w:footer="720" w:gutter="0"/>
          <w:cols w:space="720"/>
          <w:docGrid w:linePitch="360"/>
        </w:sectPr>
      </w:pPr>
    </w:p>
    <w:p w:rsidR="00437BC2" w:rsidRDefault="00437BC2" w:rsidP="00437BC2">
      <w:pPr>
        <w:pStyle w:val="ListParagraph"/>
        <w:numPr>
          <w:ilvl w:val="0"/>
          <w:numId w:val="1"/>
        </w:numPr>
      </w:pPr>
      <w:r>
        <w:t>Richard Hanson</w:t>
      </w:r>
    </w:p>
    <w:p w:rsidR="00437BC2" w:rsidRPr="00F12119" w:rsidRDefault="00437BC2" w:rsidP="00437BC2">
      <w:pPr>
        <w:pStyle w:val="ListParagraph"/>
        <w:numPr>
          <w:ilvl w:val="0"/>
          <w:numId w:val="1"/>
        </w:numPr>
        <w:rPr>
          <w:b/>
        </w:rPr>
      </w:pPr>
      <w:r w:rsidRPr="00F12119">
        <w:rPr>
          <w:b/>
        </w:rPr>
        <w:t>Ginger Charles</w:t>
      </w:r>
    </w:p>
    <w:p w:rsidR="00437BC2" w:rsidRDefault="00437BC2" w:rsidP="00437BC2">
      <w:pPr>
        <w:pStyle w:val="ListParagraph"/>
        <w:numPr>
          <w:ilvl w:val="0"/>
          <w:numId w:val="1"/>
        </w:numPr>
      </w:pPr>
      <w:r>
        <w:t>Talitha Agan</w:t>
      </w:r>
    </w:p>
    <w:p w:rsidR="00437BC2" w:rsidRPr="00F12119" w:rsidRDefault="00437BC2" w:rsidP="00437BC2">
      <w:pPr>
        <w:pStyle w:val="ListParagraph"/>
        <w:numPr>
          <w:ilvl w:val="0"/>
          <w:numId w:val="1"/>
        </w:numPr>
        <w:rPr>
          <w:b/>
        </w:rPr>
      </w:pPr>
      <w:r w:rsidRPr="00F12119">
        <w:rPr>
          <w:b/>
        </w:rPr>
        <w:t>Hans Hauselmann</w:t>
      </w:r>
    </w:p>
    <w:p w:rsidR="00437BC2" w:rsidRPr="00F12119" w:rsidRDefault="00437BC2" w:rsidP="00437BC2">
      <w:pPr>
        <w:pStyle w:val="ListParagraph"/>
        <w:numPr>
          <w:ilvl w:val="0"/>
          <w:numId w:val="1"/>
        </w:numPr>
        <w:rPr>
          <w:b/>
        </w:rPr>
      </w:pPr>
      <w:r w:rsidRPr="00F12119">
        <w:rPr>
          <w:b/>
        </w:rPr>
        <w:t>Eva Mo</w:t>
      </w:r>
    </w:p>
    <w:p w:rsidR="00437BC2" w:rsidRPr="00F12119" w:rsidRDefault="00437BC2" w:rsidP="00437BC2">
      <w:pPr>
        <w:pStyle w:val="ListParagraph"/>
        <w:numPr>
          <w:ilvl w:val="0"/>
          <w:numId w:val="1"/>
        </w:numPr>
        <w:rPr>
          <w:b/>
        </w:rPr>
      </w:pPr>
      <w:r w:rsidRPr="00F12119">
        <w:rPr>
          <w:b/>
        </w:rPr>
        <w:t>Bill Anelli</w:t>
      </w:r>
    </w:p>
    <w:p w:rsidR="00437BC2" w:rsidRDefault="00437BC2" w:rsidP="00437BC2">
      <w:pPr>
        <w:pStyle w:val="ListParagraph"/>
        <w:numPr>
          <w:ilvl w:val="0"/>
          <w:numId w:val="1"/>
        </w:numPr>
      </w:pPr>
      <w:r>
        <w:t>Chad Redwing</w:t>
      </w:r>
    </w:p>
    <w:p w:rsidR="00437BC2" w:rsidRPr="00F12119" w:rsidRDefault="00437BC2" w:rsidP="00437BC2">
      <w:pPr>
        <w:pStyle w:val="ListParagraph"/>
        <w:numPr>
          <w:ilvl w:val="0"/>
          <w:numId w:val="1"/>
        </w:numPr>
        <w:rPr>
          <w:b/>
        </w:rPr>
      </w:pPr>
      <w:r w:rsidRPr="00F12119">
        <w:rPr>
          <w:b/>
        </w:rPr>
        <w:t>Patricia Wall</w:t>
      </w:r>
    </w:p>
    <w:p w:rsidR="00437BC2" w:rsidRDefault="00437BC2" w:rsidP="00437BC2">
      <w:pPr>
        <w:pStyle w:val="ListParagraph"/>
        <w:numPr>
          <w:ilvl w:val="0"/>
          <w:numId w:val="1"/>
        </w:numPr>
      </w:pPr>
      <w:r>
        <w:t>Erica Beam</w:t>
      </w:r>
    </w:p>
    <w:p w:rsidR="00437BC2" w:rsidRDefault="00437BC2" w:rsidP="00437BC2">
      <w:pPr>
        <w:pStyle w:val="ListParagraph"/>
        <w:numPr>
          <w:ilvl w:val="0"/>
          <w:numId w:val="1"/>
        </w:numPr>
      </w:pPr>
      <w:r>
        <w:t>Eileen Kerr</w:t>
      </w:r>
    </w:p>
    <w:p w:rsidR="00437BC2" w:rsidRDefault="00437BC2" w:rsidP="00437BC2">
      <w:pPr>
        <w:pStyle w:val="ListParagraph"/>
        <w:numPr>
          <w:ilvl w:val="0"/>
          <w:numId w:val="1"/>
        </w:numPr>
      </w:pPr>
      <w:r>
        <w:t>Al Smith</w:t>
      </w:r>
    </w:p>
    <w:p w:rsidR="00437BC2" w:rsidRDefault="00437BC2" w:rsidP="00437BC2">
      <w:pPr>
        <w:pStyle w:val="ListParagraph"/>
        <w:numPr>
          <w:ilvl w:val="0"/>
          <w:numId w:val="1"/>
        </w:numPr>
      </w:pPr>
      <w:r>
        <w:t>Andrew Kranzman</w:t>
      </w:r>
    </w:p>
    <w:p w:rsidR="00F12119" w:rsidRDefault="00F12119" w:rsidP="009659CF">
      <w:pPr>
        <w:sectPr w:rsidR="00F12119" w:rsidSect="00F12119">
          <w:type w:val="continuous"/>
          <w:pgSz w:w="12240" w:h="15840"/>
          <w:pgMar w:top="1440" w:right="1440" w:bottom="1440" w:left="1440" w:header="720" w:footer="720" w:gutter="0"/>
          <w:cols w:num="2" w:space="720"/>
          <w:docGrid w:linePitch="360"/>
        </w:sectPr>
      </w:pPr>
    </w:p>
    <w:p w:rsidR="009659CF" w:rsidRDefault="009659CF" w:rsidP="009659CF">
      <w:r>
        <w:t>Both Ginger Charles and Hans Hauselmann met with the Faculty Learning Community cohort every three weeks for two hours each time (5 pm to 7 pm) in the conference room next to BBSS, Founders Hall on the following dates</w:t>
      </w:r>
      <w:r w:rsidR="00444771">
        <w:t xml:space="preserve"> in order to discuss the readings, discuss our own teaching issues and course issues in relation to our readings, in order to then modify and improve our syllabi. We met on these dates</w:t>
      </w:r>
      <w:r>
        <w:t>:</w:t>
      </w:r>
    </w:p>
    <w:p w:rsidR="009659CF" w:rsidRDefault="009659CF" w:rsidP="009659CF">
      <w:pPr>
        <w:sectPr w:rsidR="009659CF" w:rsidSect="00F12119">
          <w:type w:val="continuous"/>
          <w:pgSz w:w="12240" w:h="15840"/>
          <w:pgMar w:top="1440" w:right="1440" w:bottom="1440" w:left="1440" w:header="720" w:footer="720" w:gutter="0"/>
          <w:cols w:space="720"/>
          <w:docGrid w:linePitch="360"/>
        </w:sectPr>
      </w:pPr>
    </w:p>
    <w:p w:rsidR="00444771" w:rsidRDefault="00444771" w:rsidP="009659CF">
      <w:r>
        <w:t>September 3</w:t>
      </w:r>
      <w:r w:rsidRPr="00444771">
        <w:rPr>
          <w:vertAlign w:val="superscript"/>
        </w:rPr>
        <w:t>rd</w:t>
      </w:r>
      <w:r>
        <w:t>, 2015</w:t>
      </w:r>
    </w:p>
    <w:p w:rsidR="009659CF" w:rsidRDefault="009659CF" w:rsidP="009659CF">
      <w:r>
        <w:t>October 8, 2015</w:t>
      </w:r>
    </w:p>
    <w:p w:rsidR="009659CF" w:rsidRDefault="009659CF" w:rsidP="009659CF">
      <w:r>
        <w:t>October 29, 2015</w:t>
      </w:r>
    </w:p>
    <w:p w:rsidR="009659CF" w:rsidRDefault="009659CF" w:rsidP="009659CF">
      <w:r>
        <w:t>November 19, 2015</w:t>
      </w:r>
    </w:p>
    <w:p w:rsidR="009659CF" w:rsidRDefault="009659CF" w:rsidP="009659CF">
      <w:r>
        <w:t>December 3</w:t>
      </w:r>
      <w:r w:rsidRPr="009659CF">
        <w:rPr>
          <w:vertAlign w:val="superscript"/>
        </w:rPr>
        <w:t>rd</w:t>
      </w:r>
      <w:r>
        <w:t>, 2015</w:t>
      </w:r>
    </w:p>
    <w:p w:rsidR="009659CF" w:rsidRDefault="009659CF" w:rsidP="009659CF">
      <w:r>
        <w:t>December 21, 2015 – holiday get together and discussion of Bell Hooks</w:t>
      </w:r>
    </w:p>
    <w:p w:rsidR="009659CF" w:rsidRDefault="009659CF" w:rsidP="009659CF">
      <w:r>
        <w:t>January 28, 2016</w:t>
      </w:r>
    </w:p>
    <w:p w:rsidR="009659CF" w:rsidRDefault="009659CF" w:rsidP="009659CF">
      <w:r>
        <w:t>February 11, 2016</w:t>
      </w:r>
    </w:p>
    <w:p w:rsidR="009659CF" w:rsidRDefault="009659CF" w:rsidP="009659CF">
      <w:r>
        <w:t>March 3</w:t>
      </w:r>
      <w:r w:rsidRPr="009659CF">
        <w:rPr>
          <w:vertAlign w:val="superscript"/>
        </w:rPr>
        <w:t>rd</w:t>
      </w:r>
      <w:r>
        <w:t>, 2016</w:t>
      </w:r>
    </w:p>
    <w:p w:rsidR="009659CF" w:rsidRDefault="009659CF" w:rsidP="009659CF">
      <w:r>
        <w:t>March 24</w:t>
      </w:r>
      <w:r w:rsidRPr="009659CF">
        <w:rPr>
          <w:vertAlign w:val="superscript"/>
        </w:rPr>
        <w:t>th</w:t>
      </w:r>
      <w:r>
        <w:t>, 2016</w:t>
      </w:r>
    </w:p>
    <w:p w:rsidR="009659CF" w:rsidRDefault="009659CF" w:rsidP="009659CF">
      <w:r>
        <w:t>April 14</w:t>
      </w:r>
      <w:r w:rsidRPr="009659CF">
        <w:rPr>
          <w:vertAlign w:val="superscript"/>
        </w:rPr>
        <w:t>th</w:t>
      </w:r>
      <w:r>
        <w:t>, 2016</w:t>
      </w:r>
    </w:p>
    <w:p w:rsidR="009659CF" w:rsidRDefault="009659CF" w:rsidP="009659CF">
      <w:pPr>
        <w:sectPr w:rsidR="009659CF" w:rsidSect="009659CF">
          <w:type w:val="continuous"/>
          <w:pgSz w:w="12240" w:h="15840"/>
          <w:pgMar w:top="1440" w:right="1440" w:bottom="1440" w:left="1440" w:header="720" w:footer="720" w:gutter="0"/>
          <w:cols w:num="2" w:space="720"/>
          <w:docGrid w:linePitch="360"/>
        </w:sectPr>
      </w:pPr>
      <w:r>
        <w:t>May 5</w:t>
      </w:r>
      <w:r w:rsidRPr="009659CF">
        <w:rPr>
          <w:vertAlign w:val="superscript"/>
        </w:rPr>
        <w:t>th</w:t>
      </w:r>
      <w:r w:rsidR="00F12119">
        <w:t>, 2016</w:t>
      </w:r>
    </w:p>
    <w:p w:rsidR="009659CF" w:rsidRDefault="00F12119" w:rsidP="009659CF">
      <w:r>
        <w:t>G</w:t>
      </w:r>
      <w:r w:rsidR="00C1503B">
        <w:t>inger and Hans</w:t>
      </w:r>
      <w:r w:rsidR="009659CF">
        <w:t xml:space="preserve"> read the following texts </w:t>
      </w:r>
      <w:r w:rsidR="00C1503B">
        <w:t xml:space="preserve">(see below) </w:t>
      </w:r>
      <w:r w:rsidR="009659CF">
        <w:t>from the scholarship of teaching and learning (</w:t>
      </w:r>
      <w:proofErr w:type="spellStart"/>
      <w:r w:rsidR="009659CF">
        <w:t>SoTL</w:t>
      </w:r>
      <w:proofErr w:type="spellEnd"/>
      <w:r w:rsidR="009659CF">
        <w:t>) literature. 90% of our readings focused on improving course design including some “tips and tricks” along the way. Specifically we read texts in three specific areas:  1) the principles of backward cou</w:t>
      </w:r>
      <w:r w:rsidR="00444771">
        <w:t xml:space="preserve">rse design along with studying each component (Grant Wiggins and </w:t>
      </w:r>
      <w:proofErr w:type="spellStart"/>
      <w:r w:rsidR="00444771">
        <w:t>M</w:t>
      </w:r>
      <w:r w:rsidR="009659CF">
        <w:t>cTighe</w:t>
      </w:r>
      <w:proofErr w:type="spellEnd"/>
      <w:r w:rsidR="009659CF">
        <w:t xml:space="preserve">; and Dee Fink) – one begins with course goals then works backward to assessment and then in class and out of class activities; 2) </w:t>
      </w:r>
      <w:r w:rsidR="00C1503B">
        <w:t>general and specific</w:t>
      </w:r>
      <w:r w:rsidR="009659CF">
        <w:t xml:space="preserve"> pedagogical principles</w:t>
      </w:r>
      <w:r w:rsidR="00C1503B">
        <w:t xml:space="preserve"> such as controlled failures, transfer of theory/concepts to new “noisy” real world situations, scaffolding, </w:t>
      </w:r>
      <w:proofErr w:type="spellStart"/>
      <w:r w:rsidR="00444771">
        <w:t>FIDeLity</w:t>
      </w:r>
      <w:proofErr w:type="spellEnd"/>
      <w:r w:rsidR="00444771">
        <w:t xml:space="preserve"> (frequent, immediate, direct feedback given lovingly), </w:t>
      </w:r>
      <w:r w:rsidR="00C1503B">
        <w:t>increasing relevancy, ass</w:t>
      </w:r>
      <w:bookmarkStart w:id="0" w:name="_GoBack"/>
      <w:bookmarkEnd w:id="0"/>
      <w:r w:rsidR="00C1503B">
        <w:t xml:space="preserve">essment (including formative/summative), castle top course planning, importance of students’ lived contexts, backgrounds, etc.; 3) essays on teaching to underprepared/disadvantaged students including issues of race and class. </w:t>
      </w:r>
    </w:p>
    <w:p w:rsidR="00C1503B" w:rsidRDefault="00C1503B" w:rsidP="009659CF">
      <w:r>
        <w:t xml:space="preserve">Ginger and Hans did not simply read and discuss. They, as did all of the </w:t>
      </w:r>
      <w:proofErr w:type="spellStart"/>
      <w:proofErr w:type="gramStart"/>
      <w:r>
        <w:t>FLCers</w:t>
      </w:r>
      <w:proofErr w:type="spellEnd"/>
      <w:r>
        <w:t>,  modified</w:t>
      </w:r>
      <w:proofErr w:type="gramEnd"/>
      <w:r>
        <w:t xml:space="preserve"> and redeveloped existing class syllabi that we teach along the lines of the course design and pedagogical texts that we read. We also presented the philosophy and approach at the Asilomar conference in Monterey. </w:t>
      </w:r>
    </w:p>
    <w:p w:rsidR="00C1503B" w:rsidRDefault="00C1503B" w:rsidP="009659CF">
      <w:r>
        <w:t>Below are the texts from which we read 2 or 3 chapters in order of reading</w:t>
      </w:r>
      <w:r w:rsidR="00F12119">
        <w:t>.  In bold are the texts that focused mostly upon</w:t>
      </w:r>
      <w:r>
        <w:t>:</w:t>
      </w:r>
    </w:p>
    <w:p w:rsidR="00C1503B" w:rsidRPr="00444771" w:rsidRDefault="00C1503B" w:rsidP="00F12119">
      <w:pPr>
        <w:spacing w:after="0" w:line="480" w:lineRule="auto"/>
        <w:ind w:left="720" w:hanging="720"/>
        <w:rPr>
          <w:rFonts w:eastAsia="Times New Roman" w:cs="Times New Roman"/>
          <w:b/>
        </w:rPr>
      </w:pPr>
      <w:proofErr w:type="spellStart"/>
      <w:r w:rsidRPr="00444771">
        <w:rPr>
          <w:rFonts w:eastAsia="Times New Roman" w:cs="Times New Roman"/>
          <w:b/>
        </w:rPr>
        <w:lastRenderedPageBreak/>
        <w:t>Dweck</w:t>
      </w:r>
      <w:proofErr w:type="spellEnd"/>
      <w:r w:rsidRPr="00444771">
        <w:rPr>
          <w:rFonts w:eastAsia="Times New Roman" w:cs="Times New Roman"/>
          <w:b/>
        </w:rPr>
        <w:t xml:space="preserve">, C. S. (2000). </w:t>
      </w:r>
      <w:r w:rsidRPr="00444771">
        <w:rPr>
          <w:rFonts w:eastAsia="Times New Roman" w:cs="Times New Roman"/>
          <w:b/>
          <w:i/>
          <w:iCs/>
        </w:rPr>
        <w:t>Self-</w:t>
      </w:r>
      <w:proofErr w:type="gramStart"/>
      <w:r w:rsidRPr="00444771">
        <w:rPr>
          <w:rFonts w:eastAsia="Times New Roman" w:cs="Times New Roman"/>
          <w:b/>
          <w:i/>
          <w:iCs/>
        </w:rPr>
        <w:t>theories :</w:t>
      </w:r>
      <w:proofErr w:type="gramEnd"/>
      <w:r w:rsidRPr="00444771">
        <w:rPr>
          <w:rFonts w:eastAsia="Times New Roman" w:cs="Times New Roman"/>
          <w:b/>
          <w:i/>
          <w:iCs/>
        </w:rPr>
        <w:t xml:space="preserve"> their role in motivation, personality, and development</w:t>
      </w:r>
      <w:r w:rsidRPr="00444771">
        <w:rPr>
          <w:rFonts w:eastAsia="Times New Roman" w:cs="Times New Roman"/>
          <w:b/>
        </w:rPr>
        <w:t>. Philadelphia, PA: Psychology Press.</w:t>
      </w:r>
    </w:p>
    <w:p w:rsidR="00C1503B" w:rsidRPr="00444771" w:rsidRDefault="00C1503B" w:rsidP="00F12119">
      <w:pPr>
        <w:tabs>
          <w:tab w:val="left" w:pos="720"/>
        </w:tabs>
        <w:spacing w:after="0" w:line="480" w:lineRule="auto"/>
        <w:ind w:left="720" w:hanging="720"/>
        <w:rPr>
          <w:rFonts w:eastAsia="Times New Roman" w:cs="Times New Roman"/>
        </w:rPr>
      </w:pPr>
      <w:r w:rsidRPr="00444771">
        <w:rPr>
          <w:rFonts w:eastAsia="Times New Roman" w:cs="Times New Roman"/>
        </w:rPr>
        <w:t xml:space="preserve">Blakemore, S.-J., &amp; </w:t>
      </w:r>
      <w:proofErr w:type="spellStart"/>
      <w:r w:rsidRPr="00444771">
        <w:rPr>
          <w:rFonts w:eastAsia="Times New Roman" w:cs="Times New Roman"/>
        </w:rPr>
        <w:t>Frith</w:t>
      </w:r>
      <w:proofErr w:type="spellEnd"/>
      <w:r w:rsidRPr="00444771">
        <w:rPr>
          <w:rFonts w:eastAsia="Times New Roman" w:cs="Times New Roman"/>
        </w:rPr>
        <w:t xml:space="preserve">, U. (2005). </w:t>
      </w:r>
      <w:r w:rsidRPr="00444771">
        <w:rPr>
          <w:rFonts w:eastAsia="Times New Roman" w:cs="Times New Roman"/>
          <w:i/>
          <w:iCs/>
        </w:rPr>
        <w:t xml:space="preserve">The learning </w:t>
      </w:r>
      <w:proofErr w:type="gramStart"/>
      <w:r w:rsidRPr="00444771">
        <w:rPr>
          <w:rFonts w:eastAsia="Times New Roman" w:cs="Times New Roman"/>
          <w:i/>
          <w:iCs/>
        </w:rPr>
        <w:t>brain :</w:t>
      </w:r>
      <w:proofErr w:type="gramEnd"/>
      <w:r w:rsidRPr="00444771">
        <w:rPr>
          <w:rFonts w:eastAsia="Times New Roman" w:cs="Times New Roman"/>
          <w:i/>
          <w:iCs/>
        </w:rPr>
        <w:t xml:space="preserve"> lessons for education</w:t>
      </w:r>
      <w:r w:rsidRPr="00444771">
        <w:rPr>
          <w:rFonts w:eastAsia="Times New Roman" w:cs="Times New Roman"/>
        </w:rPr>
        <w:t>. Malden, MA, USA: Blackwell</w:t>
      </w:r>
    </w:p>
    <w:p w:rsidR="00C1503B" w:rsidRPr="00444771" w:rsidRDefault="00C1503B" w:rsidP="00F12119">
      <w:pPr>
        <w:spacing w:after="0" w:line="480" w:lineRule="auto"/>
        <w:ind w:left="720" w:hanging="720"/>
        <w:rPr>
          <w:rFonts w:eastAsia="Times New Roman" w:cs="Times New Roman"/>
          <w:b/>
        </w:rPr>
      </w:pPr>
      <w:r w:rsidRPr="00444771">
        <w:rPr>
          <w:rFonts w:eastAsia="Times New Roman" w:cs="Times New Roman"/>
          <w:b/>
        </w:rPr>
        <w:t xml:space="preserve">Ambrose, S. A. (2010). </w:t>
      </w:r>
      <w:r w:rsidRPr="00444771">
        <w:rPr>
          <w:rFonts w:eastAsia="Times New Roman" w:cs="Times New Roman"/>
          <w:b/>
          <w:i/>
          <w:iCs/>
        </w:rPr>
        <w:t xml:space="preserve">How learning </w:t>
      </w:r>
      <w:proofErr w:type="gramStart"/>
      <w:r w:rsidRPr="00444771">
        <w:rPr>
          <w:rFonts w:eastAsia="Times New Roman" w:cs="Times New Roman"/>
          <w:b/>
          <w:i/>
          <w:iCs/>
        </w:rPr>
        <w:t>works :</w:t>
      </w:r>
      <w:proofErr w:type="gramEnd"/>
      <w:r w:rsidRPr="00444771">
        <w:rPr>
          <w:rFonts w:eastAsia="Times New Roman" w:cs="Times New Roman"/>
          <w:b/>
          <w:i/>
          <w:iCs/>
        </w:rPr>
        <w:t xml:space="preserve"> seven research-based principles for smart teaching</w:t>
      </w:r>
      <w:r w:rsidRPr="00444771">
        <w:rPr>
          <w:rFonts w:eastAsia="Times New Roman" w:cs="Times New Roman"/>
          <w:b/>
        </w:rPr>
        <w:t xml:space="preserve">. San Francisco, CA: </w:t>
      </w:r>
      <w:proofErr w:type="spellStart"/>
      <w:r w:rsidRPr="00444771">
        <w:rPr>
          <w:rFonts w:eastAsia="Times New Roman" w:cs="Times New Roman"/>
          <w:b/>
        </w:rPr>
        <w:t>Jossey</w:t>
      </w:r>
      <w:proofErr w:type="spellEnd"/>
      <w:r w:rsidRPr="00444771">
        <w:rPr>
          <w:rFonts w:eastAsia="Times New Roman" w:cs="Times New Roman"/>
          <w:b/>
        </w:rPr>
        <w:t>-Bass.</w:t>
      </w:r>
    </w:p>
    <w:p w:rsidR="00C1503B" w:rsidRPr="00444771" w:rsidRDefault="00C1503B" w:rsidP="00F12119">
      <w:pPr>
        <w:spacing w:after="0" w:line="480" w:lineRule="auto"/>
        <w:ind w:left="720" w:hanging="720"/>
        <w:rPr>
          <w:rFonts w:eastAsia="Times New Roman" w:cs="Times New Roman"/>
        </w:rPr>
      </w:pPr>
      <w:proofErr w:type="spellStart"/>
      <w:r w:rsidRPr="00444771">
        <w:rPr>
          <w:rFonts w:eastAsia="Times New Roman" w:cs="Times New Roman"/>
        </w:rPr>
        <w:t>Leamnson</w:t>
      </w:r>
      <w:proofErr w:type="spellEnd"/>
      <w:r w:rsidRPr="00444771">
        <w:rPr>
          <w:rFonts w:eastAsia="Times New Roman" w:cs="Times New Roman"/>
        </w:rPr>
        <w:t xml:space="preserve">, R. (1999). </w:t>
      </w:r>
      <w:r w:rsidRPr="00444771">
        <w:rPr>
          <w:rFonts w:eastAsia="Times New Roman" w:cs="Times New Roman"/>
          <w:i/>
          <w:iCs/>
        </w:rPr>
        <w:t>Thinking About Teaching and Learning: Developing Habits of Learning with First Year College and University Students</w:t>
      </w:r>
      <w:r w:rsidRPr="00444771">
        <w:rPr>
          <w:rFonts w:eastAsia="Times New Roman" w:cs="Times New Roman"/>
        </w:rPr>
        <w:t>. Sterling, Virginia: Stylus.</w:t>
      </w:r>
    </w:p>
    <w:p w:rsidR="00C1503B" w:rsidRPr="00444771" w:rsidRDefault="00C1503B" w:rsidP="00F12119">
      <w:pPr>
        <w:spacing w:after="0" w:line="480" w:lineRule="auto"/>
        <w:ind w:left="720" w:hanging="720"/>
        <w:rPr>
          <w:rFonts w:eastAsia="Times New Roman" w:cs="Times New Roman"/>
        </w:rPr>
      </w:pPr>
      <w:r w:rsidRPr="00444771">
        <w:rPr>
          <w:rFonts w:cs="Times New Roman"/>
        </w:rPr>
        <w:t xml:space="preserve">Florence, </w:t>
      </w:r>
      <w:proofErr w:type="spellStart"/>
      <w:r w:rsidRPr="00444771">
        <w:rPr>
          <w:rFonts w:cs="Times New Roman"/>
        </w:rPr>
        <w:t>Namulundah</w:t>
      </w:r>
      <w:proofErr w:type="spellEnd"/>
      <w:r w:rsidRPr="00444771">
        <w:rPr>
          <w:rFonts w:cs="Times New Roman"/>
        </w:rPr>
        <w:t xml:space="preserve">.  </w:t>
      </w:r>
      <w:r w:rsidRPr="00444771">
        <w:rPr>
          <w:rFonts w:cs="Times New Roman"/>
          <w:i/>
        </w:rPr>
        <w:t>bell hooks’ Engaged Pedagogy: A Transgressive Education for Critical Consciousness</w:t>
      </w:r>
      <w:r w:rsidRPr="00444771">
        <w:rPr>
          <w:rFonts w:cs="Times New Roman"/>
        </w:rPr>
        <w:t>.</w:t>
      </w:r>
    </w:p>
    <w:p w:rsidR="00C1503B" w:rsidRPr="00444771" w:rsidRDefault="00C1503B" w:rsidP="00F12119">
      <w:pPr>
        <w:spacing w:after="0" w:line="480" w:lineRule="auto"/>
        <w:ind w:left="720" w:hanging="720"/>
        <w:rPr>
          <w:rFonts w:eastAsia="Times New Roman" w:cs="Times New Roman"/>
          <w:b/>
        </w:rPr>
      </w:pPr>
      <w:r w:rsidRPr="00444771">
        <w:rPr>
          <w:rFonts w:eastAsia="Times New Roman" w:cs="Times New Roman"/>
          <w:b/>
        </w:rPr>
        <w:t xml:space="preserve">Fink, L. D. (2013). </w:t>
      </w:r>
      <w:r w:rsidRPr="00444771">
        <w:rPr>
          <w:rFonts w:eastAsia="Times New Roman" w:cs="Times New Roman"/>
          <w:b/>
          <w:i/>
          <w:iCs/>
        </w:rPr>
        <w:t>Creating Significant Learning Experiences: An Integrated Approach to Designing College Courses</w:t>
      </w:r>
      <w:r w:rsidRPr="00444771">
        <w:rPr>
          <w:rFonts w:eastAsia="Times New Roman" w:cs="Times New Roman"/>
          <w:b/>
        </w:rPr>
        <w:t xml:space="preserve"> (2 edition). San Francisco: </w:t>
      </w:r>
      <w:proofErr w:type="spellStart"/>
      <w:r w:rsidRPr="00444771">
        <w:rPr>
          <w:rFonts w:eastAsia="Times New Roman" w:cs="Times New Roman"/>
          <w:b/>
        </w:rPr>
        <w:t>Jossey</w:t>
      </w:r>
      <w:proofErr w:type="spellEnd"/>
      <w:r w:rsidRPr="00444771">
        <w:rPr>
          <w:rFonts w:eastAsia="Times New Roman" w:cs="Times New Roman"/>
          <w:b/>
        </w:rPr>
        <w:t>-Bass.</w:t>
      </w:r>
    </w:p>
    <w:p w:rsidR="009659CF" w:rsidRPr="00444771" w:rsidRDefault="00F12119" w:rsidP="00F12119">
      <w:pPr>
        <w:spacing w:after="0" w:line="480" w:lineRule="auto"/>
        <w:ind w:left="720" w:hanging="720"/>
      </w:pPr>
      <w:r w:rsidRPr="00444771">
        <w:rPr>
          <w:rFonts w:eastAsia="Times New Roman" w:cs="Times New Roman"/>
          <w:b/>
          <w:sz w:val="24"/>
          <w:szCs w:val="24"/>
        </w:rPr>
        <w:t xml:space="preserve">Grant Wiggins, and Jay </w:t>
      </w:r>
      <w:proofErr w:type="spellStart"/>
      <w:r w:rsidRPr="00444771">
        <w:rPr>
          <w:rFonts w:eastAsia="Times New Roman" w:cs="Times New Roman"/>
          <w:b/>
          <w:sz w:val="24"/>
          <w:szCs w:val="24"/>
        </w:rPr>
        <w:t>McTighe</w:t>
      </w:r>
      <w:proofErr w:type="spellEnd"/>
      <w:r w:rsidRPr="00444771">
        <w:rPr>
          <w:rFonts w:eastAsia="Times New Roman" w:cs="Times New Roman"/>
          <w:b/>
          <w:sz w:val="24"/>
          <w:szCs w:val="24"/>
        </w:rPr>
        <w:t xml:space="preserve">. </w:t>
      </w:r>
      <w:r w:rsidRPr="00444771">
        <w:rPr>
          <w:rFonts w:eastAsia="Times New Roman" w:cs="Times New Roman"/>
          <w:b/>
          <w:i/>
          <w:iCs/>
          <w:sz w:val="24"/>
          <w:szCs w:val="24"/>
        </w:rPr>
        <w:t>Understanding by Design, Expanded 2nd Edition</w:t>
      </w:r>
      <w:r w:rsidRPr="00444771">
        <w:rPr>
          <w:rFonts w:eastAsia="Times New Roman" w:cs="Times New Roman"/>
          <w:b/>
          <w:sz w:val="24"/>
          <w:szCs w:val="24"/>
        </w:rPr>
        <w:t>. 2nd edition. Alexandria, VA: Pearson, 2005. Print.</w:t>
      </w:r>
      <w:r w:rsidRPr="00444771">
        <w:t xml:space="preserve"> </w:t>
      </w:r>
    </w:p>
    <w:p w:rsidR="009659CF" w:rsidRPr="00444771" w:rsidRDefault="009659CF" w:rsidP="00F12119">
      <w:pPr>
        <w:ind w:left="720" w:hanging="720"/>
      </w:pPr>
    </w:p>
    <w:sectPr w:rsidR="009659CF" w:rsidRPr="00444771" w:rsidSect="009659C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90E11"/>
    <w:multiLevelType w:val="hybridMultilevel"/>
    <w:tmpl w:val="99026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9E97D53-A298-48AD-93C3-44FA3E981867}"/>
    <w:docVar w:name="dgnword-eventsink" w:val="573582588960"/>
  </w:docVars>
  <w:rsids>
    <w:rsidRoot w:val="00437BC2"/>
    <w:rsid w:val="00437BC2"/>
    <w:rsid w:val="00444771"/>
    <w:rsid w:val="009659CF"/>
    <w:rsid w:val="00B74F64"/>
    <w:rsid w:val="00C1503B"/>
    <w:rsid w:val="00F12119"/>
    <w:rsid w:val="00FD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C244"/>
  <w15:chartTrackingRefBased/>
  <w15:docId w15:val="{CEBCC7BB-6823-4D58-8E04-03CD9B5A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25966">
      <w:bodyDiv w:val="1"/>
      <w:marLeft w:val="0"/>
      <w:marRight w:val="0"/>
      <w:marTop w:val="0"/>
      <w:marBottom w:val="0"/>
      <w:divBdr>
        <w:top w:val="none" w:sz="0" w:space="0" w:color="auto"/>
        <w:left w:val="none" w:sz="0" w:space="0" w:color="auto"/>
        <w:bottom w:val="none" w:sz="0" w:space="0" w:color="auto"/>
        <w:right w:val="none" w:sz="0" w:space="0" w:color="auto"/>
      </w:divBdr>
      <w:divsChild>
        <w:div w:id="756167888">
          <w:marLeft w:val="0"/>
          <w:marRight w:val="0"/>
          <w:marTop w:val="0"/>
          <w:marBottom w:val="0"/>
          <w:divBdr>
            <w:top w:val="none" w:sz="0" w:space="0" w:color="auto"/>
            <w:left w:val="none" w:sz="0" w:space="0" w:color="auto"/>
            <w:bottom w:val="none" w:sz="0" w:space="0" w:color="auto"/>
            <w:right w:val="none" w:sz="0" w:space="0" w:color="auto"/>
          </w:divBdr>
          <w:divsChild>
            <w:div w:id="12020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 Anelli</cp:lastModifiedBy>
  <cp:revision>3</cp:revision>
  <dcterms:created xsi:type="dcterms:W3CDTF">2016-10-28T08:41:00Z</dcterms:created>
  <dcterms:modified xsi:type="dcterms:W3CDTF">2016-10-28T08:47:00Z</dcterms:modified>
</cp:coreProperties>
</file>