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2544FE80" w14:textId="4346FBBE" w:rsidR="0099171C" w:rsidRPr="002365F4" w:rsidRDefault="00F6376D" w:rsidP="0099171C">
      <w:r>
        <w:t xml:space="preserve">The ADJU program completed its GELO assessment in the Summer of 2015.  </w:t>
      </w:r>
      <w:r w:rsidR="00DB0DBF">
        <w:t xml:space="preserve">The GELO assessment </w:t>
      </w:r>
      <w:r w:rsidR="0099171C">
        <w:t xml:space="preserve">rates were 68% for GELO 1, 92% for GELO 2, and 76% for GELO 3.  This data showed, for the most part, the ADJU program was doing an adequate job in aligning its courses with the GELO requirements.  The program would like the GELO #1 outcome to be higher. The program is contemplating instituting a program policy where a critical thinking component is created and focuses on </w:t>
      </w:r>
      <w:r w:rsidR="0099171C" w:rsidRPr="002365F4">
        <w:t>the method of inquiry used by the social and behavioral sciences</w:t>
      </w:r>
      <w:r w:rsidR="0099171C">
        <w:t xml:space="preserve"> in problem solving and critical thinking skill sets.  Furthermore, the program would like to institute an adjunct orientation and an annual faculty meeting.</w:t>
      </w:r>
    </w:p>
    <w:p w14:paraId="03DF2467" w14:textId="37FAA2D1"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 xml:space="preserve">(please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t>)</w:t>
      </w:r>
    </w:p>
    <w:p w14:paraId="60EDC7E8" w14:textId="3A48AF44" w:rsidR="00250567" w:rsidRDefault="00250567" w:rsidP="004F1DDE">
      <w:pPr>
        <w:tabs>
          <w:tab w:val="right" w:pos="2430"/>
          <w:tab w:val="left" w:pos="2880"/>
        </w:tabs>
      </w:pPr>
      <w:r>
        <w:t>Greg Hausmann – Professor of Administration of Justice</w:t>
      </w:r>
    </w:p>
    <w:p w14:paraId="1EE7B648" w14:textId="0D3D5371" w:rsidR="00250567" w:rsidRDefault="00250567" w:rsidP="004F1DDE">
      <w:pPr>
        <w:tabs>
          <w:tab w:val="right" w:pos="2430"/>
          <w:tab w:val="left" w:pos="2880"/>
        </w:tabs>
      </w:pPr>
      <w:r>
        <w:t>Steve Choi – Professor of Administration of Justice</w:t>
      </w:r>
    </w:p>
    <w:p w14:paraId="45C76367" w14:textId="77777777" w:rsidR="00250567" w:rsidRDefault="00250567" w:rsidP="004F1DDE">
      <w:pPr>
        <w:tabs>
          <w:tab w:val="right" w:pos="2430"/>
          <w:tab w:val="left" w:pos="2880"/>
        </w:tabs>
      </w:pP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0181C2C0"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001D09DC">
        <w:rPr>
          <w:rFonts w:ascii="Calibri" w:hAnsi="Calibri"/>
          <w:i/>
          <w:sz w:val="16"/>
          <w:szCs w:val="16"/>
        </w:rPr>
        <w:t>126/186</w:t>
      </w:r>
      <w:r w:rsidRPr="002E1305">
        <w:rPr>
          <w:rFonts w:ascii="Calibri" w:hAnsi="Calibri"/>
          <w:sz w:val="16"/>
          <w:szCs w:val="16"/>
        </w:rPr>
        <w:tab/>
      </w:r>
      <w:r w:rsidR="001D09DC">
        <w:rPr>
          <w:rFonts w:ascii="Calibri" w:hAnsi="Calibri"/>
          <w:sz w:val="16"/>
          <w:szCs w:val="16"/>
        </w:rPr>
        <w:t>68%</w:t>
      </w:r>
    </w:p>
    <w:p w14:paraId="042FD9CA" w14:textId="65104C9C"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001D09DC">
        <w:rPr>
          <w:rFonts w:ascii="Calibri" w:hAnsi="Calibri"/>
          <w:i/>
          <w:sz w:val="16"/>
          <w:szCs w:val="16"/>
        </w:rPr>
        <w:t>95/103</w:t>
      </w:r>
      <w:r w:rsidRPr="002E1305">
        <w:rPr>
          <w:rFonts w:ascii="Calibri" w:hAnsi="Calibri"/>
          <w:sz w:val="16"/>
          <w:szCs w:val="16"/>
        </w:rPr>
        <w:tab/>
      </w:r>
      <w:r w:rsidR="001D09DC">
        <w:rPr>
          <w:rFonts w:ascii="Calibri" w:hAnsi="Calibri"/>
          <w:sz w:val="16"/>
          <w:szCs w:val="16"/>
        </w:rPr>
        <w:t>92%</w:t>
      </w:r>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r>
        <w:rPr>
          <w:rFonts w:ascii="Calibri" w:hAnsi="Calibri"/>
          <w:i/>
          <w:sz w:val="16"/>
          <w:szCs w:val="16"/>
        </w:rPr>
        <w:t>a</w:t>
      </w:r>
      <w:r w:rsidR="00873DFB">
        <w:rPr>
          <w:rFonts w:ascii="Calibri" w:hAnsi="Calibri"/>
          <w:i/>
          <w:sz w:val="16"/>
          <w:szCs w:val="16"/>
        </w:rPr>
        <w:t>nd cultures.</w:t>
      </w:r>
    </w:p>
    <w:p w14:paraId="25A164A3" w14:textId="09E108C2"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001D09DC">
        <w:rPr>
          <w:rFonts w:ascii="Calibri" w:hAnsi="Calibri"/>
          <w:i/>
          <w:sz w:val="16"/>
          <w:szCs w:val="16"/>
        </w:rPr>
        <w:t>442/578</w:t>
      </w:r>
      <w:r w:rsidRPr="002E1305">
        <w:rPr>
          <w:rFonts w:ascii="Calibri" w:hAnsi="Calibri"/>
          <w:sz w:val="16"/>
          <w:szCs w:val="16"/>
        </w:rPr>
        <w:tab/>
      </w:r>
      <w:r w:rsidR="001D09DC">
        <w:rPr>
          <w:rFonts w:ascii="Calibri" w:hAnsi="Calibri"/>
          <w:sz w:val="16"/>
          <w:szCs w:val="16"/>
        </w:rPr>
        <w:t xml:space="preserve">76% </w:t>
      </w:r>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r>
        <w:rPr>
          <w:rFonts w:ascii="Calibri" w:hAnsi="Calibri"/>
          <w:i/>
          <w:sz w:val="16"/>
          <w:szCs w:val="16"/>
        </w:rPr>
        <w:t>societies.</w:t>
      </w:r>
      <w:r>
        <w:rPr>
          <w:rFonts w:ascii="Calibri" w:hAnsi="Calibri"/>
          <w:i/>
          <w:sz w:val="16"/>
          <w:szCs w:val="16"/>
        </w:rPr>
        <w:tab/>
      </w:r>
      <w:r>
        <w:rPr>
          <w:rFonts w:ascii="Calibri" w:hAnsi="Calibri"/>
          <w:i/>
          <w:sz w:val="16"/>
          <w:szCs w:val="16"/>
        </w:rPr>
        <w:tab/>
      </w:r>
    </w:p>
    <w:p w14:paraId="44A0E9F1" w14:textId="547F17A1" w:rsidR="00873DFB" w:rsidRPr="00805C8E" w:rsidRDefault="0021028D" w:rsidP="00C56CB5">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14:paraId="3F82C263" w14:textId="0B92533A" w:rsidR="00873DFB" w:rsidRPr="00873DFB" w:rsidRDefault="002365F4" w:rsidP="00873DFB">
      <w:pPr>
        <w:tabs>
          <w:tab w:val="left" w:pos="6840"/>
          <w:tab w:val="left" w:pos="8460"/>
        </w:tabs>
        <w:spacing w:after="0"/>
        <w:ind w:firstLine="720"/>
      </w:pPr>
      <w:r>
        <w:tab/>
      </w:r>
      <w:r>
        <w:tab/>
      </w:r>
      <w:r>
        <w:tab/>
      </w:r>
      <w:r w:rsidR="00873DFB"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6B085C"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FA26F37" w14:textId="77777777" w:rsidR="006B085C" w:rsidRDefault="006B085C" w:rsidP="006B085C"/>
    <w:p w14:paraId="5191C818" w14:textId="0C26AEF2" w:rsidR="002365F4" w:rsidRPr="002365F4" w:rsidRDefault="006B085C" w:rsidP="006B085C">
      <w:r>
        <w:rPr>
          <w:i/>
        </w:rPr>
        <w:t>The various GELO</w:t>
      </w:r>
      <w:r w:rsidR="002365F4">
        <w:rPr>
          <w:i/>
        </w:rPr>
        <w:t>s</w:t>
      </w:r>
      <w:r>
        <w:rPr>
          <w:i/>
        </w:rPr>
        <w:t xml:space="preserve"> on the spread sheet are accurate and they represent the overall purposes of these specific Administration of Justice courses.  The GELOs, which are listed, in the MJC Catalog represent the expected student learning outcomes for MJC-GE areas.  Administration of Justice has courses approved in the area D which helps to illustrate the breadth and scope of the program. </w:t>
      </w:r>
      <w:r w:rsidR="002365F4">
        <w:rPr>
          <w:i/>
        </w:rPr>
        <w:t xml:space="preserve"> </w:t>
      </w:r>
      <w:r w:rsidR="002365F4" w:rsidRPr="002365F4">
        <w:t>Furthermore, our assessment</w:t>
      </w:r>
      <w:r w:rsidR="002365F4">
        <w:rPr>
          <w:i/>
        </w:rPr>
        <w:t xml:space="preserve"> </w:t>
      </w:r>
      <w:r w:rsidR="002365F4">
        <w:t>of the GELOs demonstrates student success in ensuring the Administration of Justice program is adequately teaching each required GELO.  The passage rate of GELO 1 is 68%, GELO 2 is 92%, and GELO 3 is 76%.  The program would like th</w:t>
      </w:r>
      <w:r w:rsidR="00DC3EEA">
        <w:t>e GELO #1 outcome</w:t>
      </w:r>
      <w:r w:rsidR="002365F4">
        <w:t xml:space="preserve"> to be higher. The program is contemplating instituting a program policy where a critical thinking component is created and focuses on </w:t>
      </w:r>
      <w:r w:rsidR="002365F4" w:rsidRPr="002365F4">
        <w:t>the method of inquiry used by the social and behavioral sciences</w:t>
      </w:r>
      <w:r w:rsidR="00DC3EEA">
        <w:t xml:space="preserve"> in problem solving and critical thinking skill sets.</w:t>
      </w:r>
    </w:p>
    <w:p w14:paraId="724F708F" w14:textId="77777777" w:rsidR="006B085C" w:rsidRDefault="006B085C" w:rsidP="006B085C">
      <w:pPr>
        <w:rPr>
          <w:i/>
        </w:rPr>
      </w:pPr>
    </w:p>
    <w:p w14:paraId="6C9E1D40" w14:textId="77777777" w:rsidR="006B085C" w:rsidRDefault="006B085C" w:rsidP="006B085C">
      <w:pPr>
        <w:rPr>
          <w:i/>
        </w:rPr>
      </w:pPr>
    </w:p>
    <w:p w14:paraId="08D51178" w14:textId="77777777" w:rsidR="006B085C" w:rsidRDefault="006B085C" w:rsidP="006B085C">
      <w:pPr>
        <w:rPr>
          <w:i/>
        </w:rPr>
      </w:pPr>
    </w:p>
    <w:p w14:paraId="710BEDC0" w14:textId="77777777" w:rsidR="006B085C" w:rsidRDefault="006B085C" w:rsidP="006B085C">
      <w:pPr>
        <w:rPr>
          <w:i/>
        </w:rPr>
      </w:pPr>
    </w:p>
    <w:p w14:paraId="71ACD1B0" w14:textId="77777777" w:rsidR="006B085C" w:rsidRDefault="006B085C" w:rsidP="006B085C">
      <w:pPr>
        <w:rPr>
          <w:i/>
        </w:rPr>
      </w:pPr>
    </w:p>
    <w:p w14:paraId="0DF53F5B" w14:textId="77777777" w:rsidR="006B085C" w:rsidRDefault="006B085C" w:rsidP="006B085C">
      <w:pPr>
        <w:rPr>
          <w:i/>
        </w:rPr>
      </w:pPr>
    </w:p>
    <w:p w14:paraId="148C47A0" w14:textId="77777777" w:rsidR="006B085C" w:rsidRDefault="006B085C" w:rsidP="006B085C">
      <w:pPr>
        <w:rPr>
          <w:i/>
        </w:rPr>
      </w:pPr>
    </w:p>
    <w:p w14:paraId="64A47620" w14:textId="77777777" w:rsidR="006B085C" w:rsidRDefault="006B085C" w:rsidP="006B085C">
      <w:pPr>
        <w:rPr>
          <w:i/>
        </w:rPr>
      </w:pPr>
    </w:p>
    <w:p w14:paraId="1454A1E3" w14:textId="77777777" w:rsidR="006B085C" w:rsidRDefault="006B085C" w:rsidP="006B085C">
      <w:pPr>
        <w:rPr>
          <w:i/>
        </w:rPr>
      </w:pPr>
    </w:p>
    <w:p w14:paraId="0DD34966" w14:textId="77777777" w:rsidR="006B085C" w:rsidRDefault="006B085C" w:rsidP="006B085C">
      <w:pPr>
        <w:rPr>
          <w:i/>
        </w:rPr>
      </w:pPr>
    </w:p>
    <w:p w14:paraId="7DB38FEA" w14:textId="77777777" w:rsidR="006B085C" w:rsidRDefault="006B085C" w:rsidP="006B085C">
      <w:pPr>
        <w:rPr>
          <w:i/>
        </w:rPr>
      </w:pPr>
    </w:p>
    <w:p w14:paraId="6CA4F73F" w14:textId="77777777" w:rsidR="006B085C" w:rsidRDefault="006B085C" w:rsidP="006B085C">
      <w:pPr>
        <w:rPr>
          <w:i/>
        </w:rPr>
      </w:pPr>
    </w:p>
    <w:p w14:paraId="0FAE13D1" w14:textId="77777777" w:rsidR="006B085C" w:rsidRDefault="006B085C" w:rsidP="006B085C">
      <w:pPr>
        <w:rPr>
          <w:i/>
        </w:rPr>
      </w:pPr>
    </w:p>
    <w:p w14:paraId="243AEA01" w14:textId="77777777" w:rsidR="006B085C" w:rsidRDefault="006B085C" w:rsidP="006B085C">
      <w:pPr>
        <w:rPr>
          <w:i/>
        </w:rPr>
      </w:pPr>
    </w:p>
    <w:p w14:paraId="0330013B" w14:textId="77777777" w:rsidR="006B085C" w:rsidRDefault="006B085C" w:rsidP="006B085C">
      <w:pPr>
        <w:rPr>
          <w:i/>
        </w:r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52216690" w:rsidR="007F1136" w:rsidRDefault="00DC3EEA" w:rsidP="007F1136">
      <w:r w:rsidRPr="00B23495">
        <w:rPr>
          <w:b/>
        </w:rPr>
        <w:t>Question:</w:t>
      </w:r>
      <w:r>
        <w:t xml:space="preserve"> </w:t>
      </w:r>
      <w:r w:rsidRPr="00DC3EEA">
        <w:t>Did you make any changes in your CLO statements or analysis during the last 4-year cycle?</w:t>
      </w:r>
    </w:p>
    <w:p w14:paraId="76905155" w14:textId="0B5953D8" w:rsidR="00DC3EEA" w:rsidRDefault="00DC3EEA">
      <w:r w:rsidRPr="00B23495">
        <w:rPr>
          <w:b/>
        </w:rPr>
        <w:t>Response:</w:t>
      </w:r>
      <w:r>
        <w:t xml:space="preserve">  ADJU program did not make any changes to the CLO statements in the last 4-year cycle.  But the program </w:t>
      </w:r>
      <w:r w:rsidR="00DF18CA">
        <w:t xml:space="preserve">wants to </w:t>
      </w:r>
      <w:r>
        <w:t>implement</w:t>
      </w:r>
      <w:r w:rsidR="00DF18CA">
        <w:t xml:space="preserve"> different mechanisms to evaluate our</w:t>
      </w:r>
      <w:r>
        <w:t xml:space="preserve"> CLO</w:t>
      </w:r>
      <w:r w:rsidR="00DF18CA">
        <w:t>s. E</w:t>
      </w:r>
      <w:r>
        <w:t xml:space="preserve">valuations </w:t>
      </w:r>
      <w:r w:rsidR="00DF18CA">
        <w:t xml:space="preserve">may be written term papers tied into a specific CLO or an untraditional performance based exam where all of the CLOs are tested.  The results would be captured via using a rubric.  They would be easily accessible and ensure program quality and integrity. </w:t>
      </w:r>
    </w:p>
    <w:p w14:paraId="1140F698" w14:textId="77777777" w:rsidR="00DC3EEA" w:rsidRDefault="00DC3EEA">
      <w:r w:rsidRPr="00B23495">
        <w:rPr>
          <w:b/>
        </w:rPr>
        <w:t>Question:</w:t>
      </w:r>
      <w:r>
        <w:t xml:space="preserve"> Did you receive funding for resources requests that were aimed to improve assessment results?</w:t>
      </w:r>
    </w:p>
    <w:p w14:paraId="1DE8B44B" w14:textId="4C8BD99A" w:rsidR="00B23495" w:rsidRDefault="00DC3EEA">
      <w:r w:rsidRPr="00B23495">
        <w:rPr>
          <w:b/>
        </w:rPr>
        <w:t>Response:</w:t>
      </w:r>
      <w:r>
        <w:t xml:space="preserve"> The ADJU program received funds for the purchase </w:t>
      </w:r>
      <w:r w:rsidR="00B23495">
        <w:t>of a use of force simulator.  This purchase will assist assessment of CLOs through the use of the simulator in reporting writing, ethical considerations, and application and analysis of relevant laws.</w:t>
      </w:r>
    </w:p>
    <w:p w14:paraId="39EB2D2B" w14:textId="77777777" w:rsidR="00B23495" w:rsidRDefault="00B23495">
      <w:r w:rsidRPr="00B23495">
        <w:rPr>
          <w:b/>
        </w:rPr>
        <w:t>Question:</w:t>
      </w:r>
      <w:r>
        <w:t xml:space="preserve"> </w:t>
      </w:r>
      <w:r w:rsidRPr="00B23495">
        <w:t xml:space="preserve">Did you make any improvements in the areas of teaching and instruction processes, your courses, or your program? </w:t>
      </w:r>
    </w:p>
    <w:p w14:paraId="1787682F" w14:textId="1611EF90" w:rsidR="007F1136" w:rsidRDefault="00B23495">
      <w:r w:rsidRPr="00B23495">
        <w:rPr>
          <w:b/>
        </w:rPr>
        <w:t>Response:</w:t>
      </w:r>
      <w:r>
        <w:t xml:space="preserve"> Yes. Mr. Hausman</w:t>
      </w:r>
      <w:r w:rsidR="00F74198">
        <w:t>n</w:t>
      </w:r>
      <w:r>
        <w:t xml:space="preserve"> and Choi completed the MJC online recertification course.  An </w:t>
      </w:r>
      <w:r w:rsidR="0099171C">
        <w:t>online Writing</w:t>
      </w:r>
      <w:r>
        <w:t xml:space="preserve"> Module was created to assist students in writing term papers.  This was a joint collaborative project and the Writing Module was implemented in Mr. Hausmann and Mr. Choi’s online courses in the Summer 2015 semester. </w:t>
      </w:r>
      <w:r w:rsidR="007F1136">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32E766FC" w14:textId="1E1D138C" w:rsidR="00EC32F6" w:rsidRDefault="00EC32F6" w:rsidP="006A1B2D">
      <w:r>
        <w:t xml:space="preserve">The ADJU program would continue assessing the course learning outcomes to ensure each outcome is relevant and pragmatic for the success of our students. This will be completed by </w:t>
      </w:r>
      <w:r w:rsidR="00F6376D">
        <w:t xml:space="preserve">the </w:t>
      </w:r>
      <w:r>
        <w:t xml:space="preserve">continued use of our advisory group and each instructors’ professional input from research and networking.   </w:t>
      </w:r>
    </w:p>
    <w:p w14:paraId="436023BC" w14:textId="2302B28F" w:rsidR="00F6376D" w:rsidRDefault="00EC32F6" w:rsidP="006A1B2D">
      <w:r>
        <w:t xml:space="preserve">The ADJU program is contemplating </w:t>
      </w:r>
      <w:r w:rsidR="00D46C59">
        <w:t>an adjunct orientation when a new hire is brought on board to the program.  Another implementation is the start of a yearly ADJU faculty meeting</w:t>
      </w:r>
      <w:r w:rsidR="00F6376D">
        <w:t xml:space="preserve">. This meeting would ensure all of the College’s policies and procedures are met while allowing full-time faculty to answer questions related to accreditation, program review, and CLO assessments.  </w:t>
      </w:r>
    </w:p>
    <w:p w14:paraId="2636C1AE" w14:textId="50CB5181" w:rsidR="004960D9" w:rsidRDefault="00F6376D" w:rsidP="003B0525">
      <w:pPr>
        <w:sectPr w:rsidR="004960D9">
          <w:pgSz w:w="12240" w:h="15840"/>
          <w:pgMar w:top="1440" w:right="1440" w:bottom="1440" w:left="1440" w:header="720" w:footer="720" w:gutter="0"/>
          <w:cols w:space="720"/>
          <w:docGrid w:linePitch="360"/>
        </w:sectPr>
      </w:pPr>
      <w:r>
        <w:t xml:space="preserve">The ADJU program is </w:t>
      </w:r>
      <w:r w:rsidR="00DB0DBF">
        <w:t xml:space="preserve">discontinuing the certificate in Supervisory Management in Public Safety.  </w:t>
      </w: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30DEC" w14:textId="77777777" w:rsidR="005A08C2" w:rsidRDefault="005A08C2" w:rsidP="002A3C9D">
      <w:pPr>
        <w:spacing w:after="0" w:line="240" w:lineRule="auto"/>
      </w:pPr>
      <w:r>
        <w:separator/>
      </w:r>
    </w:p>
  </w:endnote>
  <w:endnote w:type="continuationSeparator" w:id="0">
    <w:p w14:paraId="6DD96630" w14:textId="77777777" w:rsidR="005A08C2" w:rsidRDefault="005A08C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076B36">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10908" w14:textId="77777777" w:rsidR="005A08C2" w:rsidRDefault="005A08C2" w:rsidP="002A3C9D">
      <w:pPr>
        <w:spacing w:after="0" w:line="240" w:lineRule="auto"/>
      </w:pPr>
      <w:r>
        <w:separator/>
      </w:r>
    </w:p>
  </w:footnote>
  <w:footnote w:type="continuationSeparator" w:id="0">
    <w:p w14:paraId="71055A52" w14:textId="77777777" w:rsidR="005A08C2" w:rsidRDefault="005A08C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53FF583B" w:rsidR="00133F7E" w:rsidRPr="00BE0F86" w:rsidRDefault="007C640D" w:rsidP="006B0739">
    <w:pPr>
      <w:pStyle w:val="Header"/>
      <w:rPr>
        <w:b/>
        <w:sz w:val="30"/>
        <w:szCs w:val="30"/>
      </w:rPr>
    </w:pPr>
    <w:r>
      <w:rPr>
        <w:b/>
        <w:sz w:val="30"/>
        <w:szCs w:val="30"/>
      </w:rPr>
      <w:t>ADMINISTRATION OF JUSTICE</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67781"/>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253F9"/>
    <w:rsid w:val="00033C0A"/>
    <w:rsid w:val="00076B36"/>
    <w:rsid w:val="000913DE"/>
    <w:rsid w:val="000F44B5"/>
    <w:rsid w:val="00133F7E"/>
    <w:rsid w:val="00157398"/>
    <w:rsid w:val="001B1B19"/>
    <w:rsid w:val="001B3EC4"/>
    <w:rsid w:val="001C3DD3"/>
    <w:rsid w:val="001D09DC"/>
    <w:rsid w:val="001F18A3"/>
    <w:rsid w:val="0021028D"/>
    <w:rsid w:val="0022205A"/>
    <w:rsid w:val="0022299A"/>
    <w:rsid w:val="002365F4"/>
    <w:rsid w:val="002473E0"/>
    <w:rsid w:val="00250567"/>
    <w:rsid w:val="002A3C9D"/>
    <w:rsid w:val="002B545D"/>
    <w:rsid w:val="002E1305"/>
    <w:rsid w:val="003B0525"/>
    <w:rsid w:val="003E7D53"/>
    <w:rsid w:val="004960D9"/>
    <w:rsid w:val="004B0CAE"/>
    <w:rsid w:val="004F1DDE"/>
    <w:rsid w:val="00511658"/>
    <w:rsid w:val="005276E0"/>
    <w:rsid w:val="00533700"/>
    <w:rsid w:val="00572E77"/>
    <w:rsid w:val="0059199C"/>
    <w:rsid w:val="005A08C2"/>
    <w:rsid w:val="005B2FCF"/>
    <w:rsid w:val="00611344"/>
    <w:rsid w:val="006116DA"/>
    <w:rsid w:val="006447B7"/>
    <w:rsid w:val="00685953"/>
    <w:rsid w:val="006A1B2D"/>
    <w:rsid w:val="006B0739"/>
    <w:rsid w:val="006B085C"/>
    <w:rsid w:val="00714E60"/>
    <w:rsid w:val="00715996"/>
    <w:rsid w:val="00722A86"/>
    <w:rsid w:val="0074742B"/>
    <w:rsid w:val="00776713"/>
    <w:rsid w:val="007A6F6D"/>
    <w:rsid w:val="007C640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9171C"/>
    <w:rsid w:val="009A27FE"/>
    <w:rsid w:val="009A53BC"/>
    <w:rsid w:val="009C79E2"/>
    <w:rsid w:val="00A13DA4"/>
    <w:rsid w:val="00A3107E"/>
    <w:rsid w:val="00A40FFF"/>
    <w:rsid w:val="00A95BF5"/>
    <w:rsid w:val="00AA09C3"/>
    <w:rsid w:val="00AA35EF"/>
    <w:rsid w:val="00AD09C6"/>
    <w:rsid w:val="00AD1A1A"/>
    <w:rsid w:val="00AF4042"/>
    <w:rsid w:val="00AF4FFF"/>
    <w:rsid w:val="00B073EF"/>
    <w:rsid w:val="00B23495"/>
    <w:rsid w:val="00B249A0"/>
    <w:rsid w:val="00B375E3"/>
    <w:rsid w:val="00B474B4"/>
    <w:rsid w:val="00B477B8"/>
    <w:rsid w:val="00BB7786"/>
    <w:rsid w:val="00BE0F86"/>
    <w:rsid w:val="00C56CB5"/>
    <w:rsid w:val="00C93D93"/>
    <w:rsid w:val="00CE145D"/>
    <w:rsid w:val="00CE31D9"/>
    <w:rsid w:val="00D11FDD"/>
    <w:rsid w:val="00D26A5C"/>
    <w:rsid w:val="00D33DF2"/>
    <w:rsid w:val="00D44571"/>
    <w:rsid w:val="00D4695E"/>
    <w:rsid w:val="00D46C59"/>
    <w:rsid w:val="00D5782B"/>
    <w:rsid w:val="00D644F4"/>
    <w:rsid w:val="00D76CED"/>
    <w:rsid w:val="00DB0DBF"/>
    <w:rsid w:val="00DB3BF5"/>
    <w:rsid w:val="00DC3EEA"/>
    <w:rsid w:val="00DC6907"/>
    <w:rsid w:val="00DF18CA"/>
    <w:rsid w:val="00E121A3"/>
    <w:rsid w:val="00EC32F6"/>
    <w:rsid w:val="00ED4DFB"/>
    <w:rsid w:val="00EF0E70"/>
    <w:rsid w:val="00F23067"/>
    <w:rsid w:val="00F616ED"/>
    <w:rsid w:val="00F6376D"/>
    <w:rsid w:val="00F7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6E8062C4-55CB-44F4-9EB2-C4C0ACBD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15476">
      <w:bodyDiv w:val="1"/>
      <w:marLeft w:val="0"/>
      <w:marRight w:val="0"/>
      <w:marTop w:val="0"/>
      <w:marBottom w:val="0"/>
      <w:divBdr>
        <w:top w:val="none" w:sz="0" w:space="0" w:color="auto"/>
        <w:left w:val="none" w:sz="0" w:space="0" w:color="auto"/>
        <w:bottom w:val="none" w:sz="0" w:space="0" w:color="auto"/>
        <w:right w:val="none" w:sz="0" w:space="0" w:color="auto"/>
      </w:divBdr>
    </w:div>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6160-22CA-4A88-A78B-EEE48EBB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2015-07-07T22:24:00Z</dcterms:created>
  <dcterms:modified xsi:type="dcterms:W3CDTF">2015-07-07T22:24:00Z</dcterms:modified>
</cp:coreProperties>
</file>