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76B662D5" w14:textId="44B0ECCB" w:rsidR="006C1CCA" w:rsidRPr="0064590C" w:rsidRDefault="006C1CCA" w:rsidP="006C1CCA">
      <w:pPr>
        <w:spacing w:after="0" w:line="240" w:lineRule="auto"/>
        <w:rPr>
          <w:rFonts w:eastAsia="Times New Roman" w:cs="Arial"/>
        </w:rPr>
      </w:pPr>
      <w:r w:rsidRPr="0064590C">
        <w:rPr>
          <w:rFonts w:eastAsia="Times New Roman" w:cs="Arial"/>
        </w:rPr>
        <w:t xml:space="preserve">The Reading Department continues to be a </w:t>
      </w:r>
      <w:r>
        <w:rPr>
          <w:rFonts w:eastAsia="Times New Roman" w:cs="Arial"/>
        </w:rPr>
        <w:t xml:space="preserve">robust and </w:t>
      </w:r>
      <w:r w:rsidRPr="0064590C">
        <w:rPr>
          <w:rFonts w:eastAsia="Times New Roman" w:cs="Arial"/>
        </w:rPr>
        <w:t>healthy entity within the Literature and Language Arts Division.</w:t>
      </w:r>
      <w:r>
        <w:rPr>
          <w:rFonts w:eastAsia="Times New Roman" w:cs="Arial"/>
        </w:rPr>
        <w:t xml:space="preserve">  </w:t>
      </w:r>
      <w:r w:rsidRPr="0064590C">
        <w:rPr>
          <w:rFonts w:eastAsia="Times New Roman" w:cs="Arial"/>
        </w:rPr>
        <w:t xml:space="preserve">In the various ways that student success </w:t>
      </w:r>
      <w:r w:rsidR="003E3EAB">
        <w:rPr>
          <w:rFonts w:eastAsia="Times New Roman" w:cs="Arial"/>
        </w:rPr>
        <w:t xml:space="preserve">rates are </w:t>
      </w:r>
      <w:r w:rsidRPr="0064590C">
        <w:rPr>
          <w:rFonts w:eastAsia="Times New Roman" w:cs="Arial"/>
        </w:rPr>
        <w:t>measured, most reading stude</w:t>
      </w:r>
      <w:r w:rsidR="00195371">
        <w:rPr>
          <w:rFonts w:eastAsia="Times New Roman" w:cs="Arial"/>
        </w:rPr>
        <w:t>nts are successful.  C</w:t>
      </w:r>
      <w:r w:rsidRPr="0064590C">
        <w:rPr>
          <w:rFonts w:eastAsia="Times New Roman" w:cs="Arial"/>
        </w:rPr>
        <w:t>ourse</w:t>
      </w:r>
      <w:r>
        <w:rPr>
          <w:rFonts w:eastAsia="Times New Roman" w:cs="Arial"/>
        </w:rPr>
        <w:t xml:space="preserve"> </w:t>
      </w:r>
      <w:r w:rsidRPr="0064590C">
        <w:rPr>
          <w:rFonts w:eastAsia="Times New Roman" w:cs="Arial"/>
        </w:rPr>
        <w:t>completion rates, retention rates, and CLO assessments are all positive. The reading statistics continue to compare</w:t>
      </w:r>
      <w:r>
        <w:rPr>
          <w:rFonts w:eastAsia="Times New Roman" w:cs="Arial"/>
        </w:rPr>
        <w:t xml:space="preserve"> </w:t>
      </w:r>
      <w:r w:rsidRPr="0064590C">
        <w:rPr>
          <w:rFonts w:eastAsia="Times New Roman" w:cs="Arial"/>
        </w:rPr>
        <w:t>favorably to similar measures for the college and the division.</w:t>
      </w:r>
      <w:r w:rsidR="00195371">
        <w:rPr>
          <w:rFonts w:eastAsia="Times New Roman" w:cs="Arial"/>
        </w:rPr>
        <w:t xml:space="preserve">  </w:t>
      </w:r>
      <w:r w:rsidRPr="0064590C">
        <w:rPr>
          <w:rFonts w:eastAsia="Times New Roman" w:cs="Arial"/>
        </w:rPr>
        <w:t>All Readi</w:t>
      </w:r>
      <w:r w:rsidR="00195371">
        <w:rPr>
          <w:rFonts w:eastAsia="Times New Roman" w:cs="Arial"/>
        </w:rPr>
        <w:t xml:space="preserve">ng/Spelling course outlines </w:t>
      </w:r>
      <w:r w:rsidRPr="0064590C">
        <w:rPr>
          <w:rFonts w:eastAsia="Times New Roman" w:cs="Arial"/>
        </w:rPr>
        <w:t>include CLO</w:t>
      </w:r>
      <w:r w:rsidR="00195371">
        <w:rPr>
          <w:rFonts w:eastAsia="Times New Roman" w:cs="Arial"/>
        </w:rPr>
        <w:t xml:space="preserve"> </w:t>
      </w:r>
      <w:r w:rsidRPr="0064590C">
        <w:rPr>
          <w:rFonts w:eastAsia="Times New Roman" w:cs="Arial"/>
        </w:rPr>
        <w:t>s</w:t>
      </w:r>
      <w:r w:rsidR="00195371">
        <w:rPr>
          <w:rFonts w:eastAsia="Times New Roman" w:cs="Arial"/>
        </w:rPr>
        <w:t>tatements, and a</w:t>
      </w:r>
      <w:r w:rsidRPr="0064590C">
        <w:rPr>
          <w:rFonts w:eastAsia="Times New Roman" w:cs="Arial"/>
        </w:rPr>
        <w:t>ll outlines have become part of the Curricunet system.</w:t>
      </w:r>
      <w:r>
        <w:rPr>
          <w:rFonts w:eastAsia="Times New Roman" w:cs="Arial"/>
        </w:rPr>
        <w:t xml:space="preserve">  </w:t>
      </w:r>
      <w:r w:rsidRPr="0064590C">
        <w:rPr>
          <w:rFonts w:eastAsia="Times New Roman" w:cs="Arial"/>
        </w:rPr>
        <w:t xml:space="preserve">The Reading Department is in full compliance with the curriculum </w:t>
      </w:r>
      <w:r w:rsidR="00195371" w:rsidRPr="0064590C">
        <w:rPr>
          <w:rFonts w:eastAsia="Times New Roman" w:cs="Arial"/>
        </w:rPr>
        <w:t>review</w:t>
      </w:r>
      <w:r w:rsidRPr="0064590C">
        <w:rPr>
          <w:rFonts w:eastAsia="Times New Roman" w:cs="Arial"/>
        </w:rPr>
        <w:t xml:space="preserve"> calendar and the CLO assessment calendar.</w:t>
      </w:r>
    </w:p>
    <w:p w14:paraId="4CE514A0" w14:textId="77777777" w:rsidR="00195371" w:rsidRDefault="00195371" w:rsidP="006C1CCA">
      <w:pPr>
        <w:spacing w:after="0" w:line="240" w:lineRule="auto"/>
      </w:pPr>
    </w:p>
    <w:p w14:paraId="0E943386" w14:textId="70908CF2" w:rsidR="006C1CCA" w:rsidRDefault="006C1CCA" w:rsidP="006C1CCA">
      <w:pPr>
        <w:spacing w:after="0" w:line="240" w:lineRule="auto"/>
        <w:rPr>
          <w:rFonts w:eastAsia="Times New Roman" w:cs="Arial"/>
        </w:rPr>
      </w:pPr>
      <w:r w:rsidRPr="0064590C">
        <w:rPr>
          <w:rFonts w:eastAsia="Times New Roman" w:cs="Arial"/>
        </w:rPr>
        <w:t xml:space="preserve">Reading 21, </w:t>
      </w:r>
      <w:r w:rsidR="00195371">
        <w:rPr>
          <w:rFonts w:eastAsia="Times New Roman" w:cs="Arial"/>
        </w:rPr>
        <w:t xml:space="preserve">Reading </w:t>
      </w:r>
      <w:r w:rsidRPr="0064590C">
        <w:rPr>
          <w:rFonts w:eastAsia="Times New Roman" w:cs="Arial"/>
        </w:rPr>
        <w:t>62, and Spelling 31</w:t>
      </w:r>
      <w:r w:rsidR="00195371">
        <w:rPr>
          <w:rFonts w:eastAsia="Times New Roman" w:cs="Arial"/>
        </w:rPr>
        <w:t xml:space="preserve"> were shelved </w:t>
      </w:r>
      <w:r w:rsidR="003E3EAB">
        <w:rPr>
          <w:rFonts w:eastAsia="Times New Roman" w:cs="Arial"/>
        </w:rPr>
        <w:t>several y</w:t>
      </w:r>
      <w:r w:rsidR="00195371">
        <w:rPr>
          <w:rFonts w:eastAsia="Times New Roman" w:cs="Arial"/>
        </w:rPr>
        <w:t xml:space="preserve">ears ago due to budgetary constraints and, therefore, were not assessed and not included in this document.  The Reading Department is endeavoring to reintroduce </w:t>
      </w:r>
      <w:r w:rsidR="003E3EAB">
        <w:rPr>
          <w:rFonts w:eastAsia="Times New Roman" w:cs="Arial"/>
        </w:rPr>
        <w:t xml:space="preserve">these courses </w:t>
      </w:r>
      <w:r w:rsidR="00195371">
        <w:rPr>
          <w:rFonts w:eastAsia="Times New Roman" w:cs="Arial"/>
        </w:rPr>
        <w:t>and will incorporate them in the assessment cycle as they become available to students.</w:t>
      </w:r>
    </w:p>
    <w:p w14:paraId="6B4461ED" w14:textId="77777777" w:rsidR="00195371" w:rsidRDefault="00195371" w:rsidP="006C1CCA">
      <w:pPr>
        <w:spacing w:after="0" w:line="240" w:lineRule="auto"/>
        <w:rPr>
          <w:rFonts w:eastAsia="Times New Roman" w:cs="Arial"/>
        </w:rPr>
      </w:pPr>
    </w:p>
    <w:p w14:paraId="113ECCA9" w14:textId="5AAAE056" w:rsidR="00195371" w:rsidRDefault="00195371" w:rsidP="006C1CCA">
      <w:pPr>
        <w:spacing w:after="0" w:line="240" w:lineRule="auto"/>
        <w:rPr>
          <w:rFonts w:eastAsia="Times New Roman" w:cs="Arial"/>
        </w:rPr>
      </w:pPr>
      <w:r w:rsidRPr="00195371">
        <w:rPr>
          <w:rFonts w:eastAsia="Times New Roman" w:cs="Arial"/>
          <w:b/>
        </w:rPr>
        <w:t>Data Analysis</w:t>
      </w:r>
      <w:r w:rsidR="003E3EAB">
        <w:rPr>
          <w:rFonts w:eastAsia="Times New Roman" w:cs="Arial"/>
          <w:b/>
        </w:rPr>
        <w:t>/Findings</w:t>
      </w:r>
      <w:r w:rsidRPr="00195371">
        <w:rPr>
          <w:rFonts w:eastAsia="Times New Roman" w:cs="Arial"/>
          <w:b/>
        </w:rPr>
        <w:t>:</w:t>
      </w:r>
      <w:r>
        <w:rPr>
          <w:rFonts w:eastAsia="Times New Roman" w:cs="Arial"/>
        </w:rPr>
        <w:t xml:space="preserve">  </w:t>
      </w:r>
      <w:r w:rsidR="003E3EAB">
        <w:rPr>
          <w:rFonts w:eastAsia="Times New Roman" w:cs="Arial"/>
        </w:rPr>
        <w:t>Of the nineteen ILOs listed in this document, t</w:t>
      </w:r>
      <w:r>
        <w:rPr>
          <w:rFonts w:eastAsia="Times New Roman" w:cs="Arial"/>
        </w:rPr>
        <w:t>he</w:t>
      </w:r>
      <w:r w:rsidR="003E3EAB">
        <w:rPr>
          <w:rFonts w:eastAsia="Times New Roman" w:cs="Arial"/>
        </w:rPr>
        <w:t xml:space="preserve"> Reading Department found data relevant to seventeen of those outcomes.  Assessment outcome numbers range from 87% to 92%.  The department is satisfied with the assessment instruments and the </w:t>
      </w:r>
      <w:r w:rsidR="00016DCB">
        <w:rPr>
          <w:rFonts w:eastAsia="Times New Roman" w:cs="Arial"/>
        </w:rPr>
        <w:t xml:space="preserve">student success </w:t>
      </w:r>
      <w:r w:rsidR="003E3EAB">
        <w:rPr>
          <w:rFonts w:eastAsia="Times New Roman" w:cs="Arial"/>
        </w:rPr>
        <w:t>rate</w:t>
      </w:r>
      <w:r w:rsidR="008A25A2">
        <w:rPr>
          <w:rFonts w:eastAsia="Times New Roman" w:cs="Arial"/>
        </w:rPr>
        <w:t>s</w:t>
      </w:r>
      <w:r w:rsidR="003E3EAB">
        <w:rPr>
          <w:rFonts w:eastAsia="Times New Roman" w:cs="Arial"/>
        </w:rPr>
        <w:t>.</w:t>
      </w:r>
    </w:p>
    <w:p w14:paraId="313E342E" w14:textId="77777777" w:rsidR="00195371" w:rsidRDefault="00195371" w:rsidP="006C1CCA">
      <w:pPr>
        <w:spacing w:after="0" w:line="240" w:lineRule="auto"/>
        <w:rPr>
          <w:rFonts w:eastAsia="Times New Roman" w:cs="Arial"/>
        </w:rPr>
      </w:pPr>
    </w:p>
    <w:p w14:paraId="507EA8BD" w14:textId="1C9278CB" w:rsidR="00016DCB" w:rsidRDefault="00195371" w:rsidP="00016DCB">
      <w:r w:rsidRPr="00195371">
        <w:rPr>
          <w:rFonts w:eastAsia="Times New Roman" w:cs="Arial"/>
          <w:b/>
        </w:rPr>
        <w:t>Action Plan:</w:t>
      </w:r>
      <w:r w:rsidR="00016DCB">
        <w:rPr>
          <w:rFonts w:eastAsia="Times New Roman" w:cs="Arial"/>
        </w:rPr>
        <w:t xml:space="preserve">  </w:t>
      </w:r>
      <w:r w:rsidR="00016DCB">
        <w:t xml:space="preserve">The Reading faculty will continue to discuss CLO results at monthly departmental meetings.  The faculty periodically reviews classroom materials, discusses teaching strategies, and analyzes CLO statements.  Modifications were made to CLO statements in both Reading 40 and Reading 184 during the last assessment cycle.  </w:t>
      </w:r>
    </w:p>
    <w:p w14:paraId="56E9AA57" w14:textId="11D82694" w:rsidR="00016DCB" w:rsidRPr="007F1136" w:rsidRDefault="00016DCB" w:rsidP="00016DCB">
      <w:r>
        <w:t>The Reading Department has included in its current program review a request for new computers in one of the computer labs as the need for technology resources has increased for the department.  Many Reading instructors (both full time and adjunct) have developed, or are in the process of developing, online versions of Reading 82 and Reading 184.</w:t>
      </w:r>
    </w:p>
    <w:p w14:paraId="4F65B9D1" w14:textId="5320B07C" w:rsidR="00195371" w:rsidRDefault="00195371" w:rsidP="00016DCB">
      <w:r w:rsidRPr="00195371">
        <w:rPr>
          <w:rFonts w:eastAsia="Times New Roman" w:cs="Arial"/>
          <w:b/>
        </w:rPr>
        <w:t>Improvements:</w:t>
      </w:r>
      <w:r w:rsidR="00016DCB">
        <w:rPr>
          <w:rFonts w:eastAsia="Times New Roman" w:cs="Arial"/>
        </w:rPr>
        <w:t xml:space="preserve">  </w:t>
      </w:r>
      <w:r w:rsidR="00016DCB">
        <w:t>All Reading courses are scheduled for a curriculum review in the fall of 2015.  The Reading faculty is considering a number of revisions to each of the course outlines.  Upon approval of the revised course outlines, faculty plans to modify CLO statements in an effort to broaden the scope of the assessment process and reflect the new outlines.</w:t>
      </w:r>
    </w:p>
    <w:p w14:paraId="59ACD7ED" w14:textId="77777777" w:rsidR="00016DCB" w:rsidRDefault="00016DCB"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247E5A12" w:rsidR="00533700" w:rsidRDefault="008D5DE8" w:rsidP="008D5DE8">
      <w:pPr>
        <w:pStyle w:val="ListParagraph"/>
        <w:numPr>
          <w:ilvl w:val="0"/>
          <w:numId w:val="5"/>
        </w:numPr>
        <w:tabs>
          <w:tab w:val="right" w:pos="2430"/>
          <w:tab w:val="left" w:pos="2880"/>
        </w:tabs>
      </w:pPr>
      <w:r>
        <w:t>Christopher Briggs</w:t>
      </w:r>
    </w:p>
    <w:p w14:paraId="53209844" w14:textId="532A4CAE" w:rsidR="008D5DE8" w:rsidRDefault="008D5DE8" w:rsidP="008D5DE8">
      <w:pPr>
        <w:pStyle w:val="ListParagraph"/>
        <w:numPr>
          <w:ilvl w:val="0"/>
          <w:numId w:val="5"/>
        </w:numPr>
        <w:tabs>
          <w:tab w:val="right" w:pos="2430"/>
          <w:tab w:val="left" w:pos="2880"/>
        </w:tabs>
      </w:pPr>
      <w:r>
        <w:t>Larry Scheg</w:t>
      </w:r>
    </w:p>
    <w:p w14:paraId="1E523790" w14:textId="18CC7FFD" w:rsidR="008D5DE8" w:rsidRDefault="008D5DE8" w:rsidP="008D5DE8">
      <w:pPr>
        <w:pStyle w:val="ListParagraph"/>
        <w:numPr>
          <w:ilvl w:val="0"/>
          <w:numId w:val="5"/>
        </w:numPr>
        <w:tabs>
          <w:tab w:val="right" w:pos="2430"/>
          <w:tab w:val="left" w:pos="2880"/>
        </w:tabs>
      </w:pPr>
      <w:r>
        <w:t>Sarah Hawes</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5D2515FF"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8D5DE8">
        <w:rPr>
          <w:rFonts w:ascii="Calibri" w:eastAsia="Times New Roman" w:hAnsi="Calibri" w:cs="Times New Roman"/>
          <w:i/>
          <w:iCs/>
          <w:color w:val="000000"/>
          <w:sz w:val="16"/>
          <w:szCs w:val="16"/>
        </w:rPr>
        <w:t>1317</w:t>
      </w:r>
      <w:r>
        <w:rPr>
          <w:rFonts w:ascii="Calibri" w:eastAsia="Times New Roman" w:hAnsi="Calibri" w:cs="Times New Roman"/>
          <w:i/>
          <w:iCs/>
          <w:color w:val="000000"/>
          <w:sz w:val="16"/>
          <w:szCs w:val="16"/>
        </w:rPr>
        <w:t>/</w:t>
      </w:r>
      <w:r w:rsidR="008D5DE8">
        <w:rPr>
          <w:rFonts w:ascii="Calibri" w:eastAsia="Times New Roman" w:hAnsi="Calibri" w:cs="Times New Roman"/>
          <w:i/>
          <w:iCs/>
          <w:color w:val="000000"/>
          <w:sz w:val="16"/>
          <w:szCs w:val="16"/>
        </w:rPr>
        <w:t>1509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24FB8DED"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1355</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1555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3C31A632"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2198</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2438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90%</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569C4AFD"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2179</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2415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90%</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06BE759D"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1336</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1532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2CFAD6E4"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639</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723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88%</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1FD3EBDD"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1317</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03F9EF2"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1317</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30B6268C"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1336</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1532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17ADF269"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1317</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1509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87%</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31BBA3B1"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5E06A8">
        <w:rPr>
          <w:rFonts w:ascii="Calibri" w:eastAsia="Times New Roman" w:hAnsi="Calibri" w:cs="Times New Roman"/>
          <w:i/>
          <w:iCs/>
          <w:color w:val="000000"/>
          <w:sz w:val="16"/>
          <w:szCs w:val="16"/>
        </w:rPr>
        <w:t>1520</w:t>
      </w:r>
      <w:r>
        <w:rPr>
          <w:rFonts w:ascii="Calibri" w:eastAsia="Times New Roman" w:hAnsi="Calibri" w:cs="Times New Roman"/>
          <w:i/>
          <w:iCs/>
          <w:color w:val="000000"/>
          <w:sz w:val="16"/>
          <w:szCs w:val="16"/>
        </w:rPr>
        <w:t>/</w:t>
      </w:r>
      <w:r w:rsidR="005E06A8">
        <w:rPr>
          <w:rFonts w:ascii="Calibri" w:eastAsia="Times New Roman" w:hAnsi="Calibri" w:cs="Times New Roman"/>
          <w:i/>
          <w:iCs/>
          <w:color w:val="000000"/>
          <w:sz w:val="16"/>
          <w:szCs w:val="16"/>
        </w:rPr>
        <w:t>1652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E06A8">
        <w:rPr>
          <w:rFonts w:ascii="Calibri" w:eastAsia="Times New Roman" w:hAnsi="Calibri" w:cs="Times New Roman"/>
          <w:i/>
          <w:iCs/>
          <w:color w:val="000000"/>
          <w:sz w:val="16"/>
          <w:szCs w:val="16"/>
        </w:rPr>
        <w:t>92</w:t>
      </w:r>
      <w:r w:rsidR="00A37CD5">
        <w:rPr>
          <w:rFonts w:ascii="Calibri" w:eastAsia="Times New Roman" w:hAnsi="Calibri" w:cs="Times New Roman"/>
          <w:i/>
          <w:iCs/>
          <w:color w:val="000000"/>
          <w:sz w:val="16"/>
          <w:szCs w:val="16"/>
        </w:rPr>
        <w:t>%</w:t>
      </w:r>
    </w:p>
    <w:p w14:paraId="38874806" w14:textId="374D8E60"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2208</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2440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90%</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36ED7018"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2208</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2440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90%</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4DD4C807"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2198</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2438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90%</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02E5A53B"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2198</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2438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90%</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44CFD823"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2198</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2438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90%</w:t>
      </w:r>
    </w:p>
    <w:p w14:paraId="3000A902" w14:textId="00656288"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A37CD5">
        <w:rPr>
          <w:rFonts w:ascii="Calibri" w:eastAsia="Times New Roman" w:hAnsi="Calibri" w:cs="Times New Roman"/>
          <w:i/>
          <w:iCs/>
          <w:color w:val="000000"/>
          <w:sz w:val="16"/>
          <w:szCs w:val="16"/>
        </w:rPr>
        <w:t>1317</w:t>
      </w:r>
      <w:r>
        <w:rPr>
          <w:rFonts w:ascii="Calibri" w:eastAsia="Times New Roman" w:hAnsi="Calibri" w:cs="Times New Roman"/>
          <w:i/>
          <w:iCs/>
          <w:color w:val="000000"/>
          <w:sz w:val="16"/>
          <w:szCs w:val="16"/>
        </w:rPr>
        <w:t>/</w:t>
      </w:r>
      <w:r w:rsidR="00A37CD5">
        <w:rPr>
          <w:rFonts w:ascii="Calibri" w:eastAsia="Times New Roman" w:hAnsi="Calibri" w:cs="Times New Roman"/>
          <w:i/>
          <w:iCs/>
          <w:color w:val="000000"/>
          <w:sz w:val="16"/>
          <w:szCs w:val="16"/>
        </w:rPr>
        <w:t>1509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37CD5">
        <w:rPr>
          <w:rFonts w:ascii="Calibri" w:eastAsia="Times New Roman" w:hAnsi="Calibri" w:cs="Times New Roman"/>
          <w:i/>
          <w:iCs/>
          <w:color w:val="000000"/>
          <w:sz w:val="16"/>
          <w:szCs w:val="16"/>
        </w:rPr>
        <w:t>87%</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72CE9251" w14:textId="4BAA31F7" w:rsidR="006A00DF" w:rsidRPr="006A00DF" w:rsidRDefault="006A00DF" w:rsidP="006A00DF">
      <w:pPr>
        <w:numPr>
          <w:ilvl w:val="0"/>
          <w:numId w:val="6"/>
        </w:numPr>
        <w:contextualSpacing/>
        <w:rPr>
          <w:b/>
        </w:rPr>
      </w:pPr>
      <w:r>
        <w:rPr>
          <w:b/>
        </w:rPr>
        <w:t>Institutional Learning Outcome (ILO):  Communication</w:t>
      </w:r>
    </w:p>
    <w:p w14:paraId="79D0320C" w14:textId="2DC8CA69" w:rsidR="006A00DF" w:rsidRPr="006A00DF" w:rsidRDefault="00A94FA2" w:rsidP="006A00DF">
      <w:pPr>
        <w:ind w:left="360"/>
      </w:pPr>
      <w:r>
        <w:t xml:space="preserve">Ten CLOs for four different Reading classes were referenced against four ILOs in the “Communication” category, and the Reading Department’s cumulative assessment percentages were in the high eighties.  The </w:t>
      </w:r>
      <w:r w:rsidR="000E5108">
        <w:t xml:space="preserve">sub-categories of </w:t>
      </w:r>
      <w:r>
        <w:t>written and spoken ideas, group communication</w:t>
      </w:r>
      <w:r w:rsidR="000E5108">
        <w:t>/</w:t>
      </w:r>
      <w:r>
        <w:t xml:space="preserve">problem solving, and responding to ideas of others are all skills that Reading courses address directly and successfully.  The assessment numbers suggest that the Reading Department’s choice of classroom material and pedagogical strategies </w:t>
      </w:r>
      <w:r w:rsidR="00A348A7">
        <w:t>is on target.</w:t>
      </w:r>
    </w:p>
    <w:p w14:paraId="431CE3AE" w14:textId="4762C92C" w:rsidR="006A00DF" w:rsidRPr="006A00DF" w:rsidRDefault="006A00DF" w:rsidP="006A00DF">
      <w:pPr>
        <w:numPr>
          <w:ilvl w:val="0"/>
          <w:numId w:val="6"/>
        </w:numPr>
        <w:contextualSpacing/>
        <w:rPr>
          <w:b/>
        </w:rPr>
      </w:pPr>
      <w:r>
        <w:rPr>
          <w:b/>
        </w:rPr>
        <w:t>Institutional Learning Outcome (ILO):  Creative, Critical, and Analytical Thinking</w:t>
      </w:r>
    </w:p>
    <w:p w14:paraId="465764A6" w14:textId="286FD846" w:rsidR="006A00DF" w:rsidRPr="006A00DF" w:rsidRDefault="00A348A7" w:rsidP="000E5108">
      <w:pPr>
        <w:ind w:left="360"/>
      </w:pPr>
      <w:r>
        <w:t>Ten CLOs for four different Reading classes were referenced against four ILOs in the “Creative, Critical, and Analytical Thinking” category, and the Reading Department’s cumulative assessment percentages were</w:t>
      </w:r>
      <w:r w:rsidR="00856452">
        <w:t>, again,</w:t>
      </w:r>
      <w:r>
        <w:t xml:space="preserve"> in the high eighties.  </w:t>
      </w:r>
      <w:r w:rsidR="001E2794">
        <w:t xml:space="preserve">In reference to the sub-category of making aesthetic judgments, Reading 184 addresses this outcome specifically, and the Reading faculty is satisfied with the assessment results.  </w:t>
      </w:r>
      <w:r w:rsidR="000E5108">
        <w:t xml:space="preserve">With respect to the sub-categories of addressing academic bodies of knowledge/disciplinary fields of study and historical/cultural knowledge, the Reading Department has a distinct advantage.  Because the department is not beholden to a particular content area, the faculty is free to </w:t>
      </w:r>
      <w:r w:rsidR="00A73224">
        <w:t xml:space="preserve">teach </w:t>
      </w:r>
      <w:r w:rsidR="000E5108">
        <w:t xml:space="preserve">reading comprehension strategies over a broad range of disciplines.  Consequently, students leave </w:t>
      </w:r>
      <w:r w:rsidR="00A73224">
        <w:t xml:space="preserve">Reading </w:t>
      </w:r>
      <w:r w:rsidR="000E5108">
        <w:t xml:space="preserve">courses not only with improved </w:t>
      </w:r>
      <w:r w:rsidR="00A73224">
        <w:t xml:space="preserve">comprehension </w:t>
      </w:r>
      <w:r w:rsidR="000E5108">
        <w:t>skills</w:t>
      </w:r>
      <w:r w:rsidR="00A73224">
        <w:t xml:space="preserve"> and strategies</w:t>
      </w:r>
      <w:r w:rsidR="000E5108">
        <w:t>, but with an introduction to a broad ranges of topics, disciplines, and ideas.</w:t>
      </w:r>
    </w:p>
    <w:p w14:paraId="21BD175D" w14:textId="732BCDF1" w:rsidR="006A00DF" w:rsidRPr="006A00DF" w:rsidRDefault="006A00DF" w:rsidP="006A00DF">
      <w:pPr>
        <w:ind w:left="360"/>
        <w:rPr>
          <w:b/>
        </w:rPr>
      </w:pPr>
      <w:r w:rsidRPr="006A00DF">
        <w:rPr>
          <w:b/>
        </w:rPr>
        <w:t>3.</w:t>
      </w:r>
      <w:r w:rsidRPr="006A00DF">
        <w:t xml:space="preserve">   </w:t>
      </w:r>
      <w:r>
        <w:rPr>
          <w:b/>
        </w:rPr>
        <w:t>Institutional Learning Outcome (ILO):  Cultural Literacy and Social Responsibility</w:t>
      </w:r>
    </w:p>
    <w:p w14:paraId="77AA09DA" w14:textId="4B0566B2" w:rsidR="006A00DF" w:rsidRDefault="000E5108" w:rsidP="00856452">
      <w:pPr>
        <w:ind w:left="360"/>
      </w:pPr>
      <w:r>
        <w:t xml:space="preserve">Ten CLOs for four different Reading classes were referenced against four ILOs in the “Cultural Literacy and Social Responsibility” category, and the Reading Department’s cumulative assessment </w:t>
      </w:r>
      <w:r w:rsidR="00A73224">
        <w:t>number was 87%</w:t>
      </w:r>
      <w:r>
        <w:t xml:space="preserve">.  </w:t>
      </w:r>
      <w:r w:rsidR="00856452">
        <w:t>All reading courses include a literature component, and the ILO sub-category of addressing ideas of value and meaning in literature remains a successful part of the Reading program.  As for cultural interactions and collaborating with diverse groups, Reading courses are among the most diverse of any program on campus.  Because all Reading</w:t>
      </w:r>
      <w:r w:rsidR="008A25A2">
        <w:t xml:space="preserve"> c</w:t>
      </w:r>
      <w:r w:rsidR="004D655E">
        <w:t xml:space="preserve">lasses </w:t>
      </w:r>
      <w:r w:rsidR="008A25A2">
        <w:t xml:space="preserve">use a number of </w:t>
      </w:r>
      <w:r w:rsidR="00856452">
        <w:t>strategies</w:t>
      </w:r>
      <w:r w:rsidR="008A25A2">
        <w:t xml:space="preserve"> which require students to work in groups</w:t>
      </w:r>
      <w:r w:rsidR="00856452">
        <w:t>, diverse cultural interactions i</w:t>
      </w:r>
      <w:r w:rsidR="008A25A2">
        <w:t>s</w:t>
      </w:r>
      <w:r w:rsidR="00856452">
        <w:t xml:space="preserve"> a built-in, and successful, component of all Reading courses.</w:t>
      </w:r>
    </w:p>
    <w:p w14:paraId="295CA015" w14:textId="3631FE3C" w:rsidR="00856452" w:rsidRPr="006A00DF" w:rsidRDefault="006A00DF" w:rsidP="00856452">
      <w:pPr>
        <w:ind w:left="360"/>
        <w:rPr>
          <w:b/>
        </w:rPr>
      </w:pPr>
      <w:r>
        <w:rPr>
          <w:b/>
        </w:rPr>
        <w:t>4</w:t>
      </w:r>
      <w:r w:rsidRPr="006A00DF">
        <w:rPr>
          <w:b/>
        </w:rPr>
        <w:t>.</w:t>
      </w:r>
      <w:r w:rsidRPr="006A00DF">
        <w:t xml:space="preserve">   </w:t>
      </w:r>
      <w:r>
        <w:rPr>
          <w:b/>
        </w:rPr>
        <w:t>Institutional Learning Outcome (ILO):  Information and Technology Literacy</w:t>
      </w:r>
    </w:p>
    <w:p w14:paraId="7D54188C" w14:textId="4E899CE8" w:rsidR="006A00DF" w:rsidRDefault="00856452" w:rsidP="00856452">
      <w:pPr>
        <w:ind w:left="360"/>
      </w:pPr>
      <w:r>
        <w:lastRenderedPageBreak/>
        <w:t xml:space="preserve">Ten CLOs for four different Reading classes were referenced against </w:t>
      </w:r>
      <w:r w:rsidR="004D6821">
        <w:t xml:space="preserve">three </w:t>
      </w:r>
      <w:r>
        <w:t>ILOs in the “</w:t>
      </w:r>
      <w:r w:rsidR="004D6821">
        <w:t xml:space="preserve">Information and Technology </w:t>
      </w:r>
      <w:r>
        <w:t xml:space="preserve">Literacy” category, and the Reading Department’s cumulative assessment </w:t>
      </w:r>
      <w:r w:rsidR="004D6821">
        <w:t>percentages were in the low nineties</w:t>
      </w:r>
      <w:r>
        <w:t>.</w:t>
      </w:r>
      <w:r w:rsidR="00CD26AE">
        <w:t xml:space="preserve">  Like most programs at MJC, Information and Technology Literacy is built into the course work; consequently, accessing and evaluating information from a variety of technologies, as well as the practical application of technology based learning, is reflected in any and all assessments.  </w:t>
      </w:r>
      <w:r w:rsidR="00965438">
        <w:t>The Reading Department uses a number of teaching modalities in an effort to accommodate different learning styles, and the faculty observ</w:t>
      </w:r>
      <w:r w:rsidR="008A25A2">
        <w:t>es</w:t>
      </w:r>
      <w:r w:rsidR="00965438">
        <w:t xml:space="preserve"> a high level of student interest in technology-based instruction.  This blend of modalities, which includes technology, has resulted in high student success rat</w:t>
      </w:r>
      <w:r w:rsidR="00802C9E">
        <w:t>e</w:t>
      </w:r>
      <w:r w:rsidR="00965438">
        <w:t>s that have been consistent for the past several years.</w:t>
      </w:r>
    </w:p>
    <w:p w14:paraId="38DDE68A" w14:textId="18E81586" w:rsidR="006A00DF" w:rsidRPr="006A00DF" w:rsidRDefault="006A00DF" w:rsidP="006A00DF">
      <w:pPr>
        <w:ind w:left="360"/>
        <w:rPr>
          <w:b/>
        </w:rPr>
      </w:pPr>
      <w:r>
        <w:rPr>
          <w:b/>
        </w:rPr>
        <w:t>5</w:t>
      </w:r>
      <w:r w:rsidRPr="006A00DF">
        <w:rPr>
          <w:b/>
        </w:rPr>
        <w:t>.</w:t>
      </w:r>
      <w:r w:rsidRPr="006A00DF">
        <w:t xml:space="preserve">   </w:t>
      </w:r>
      <w:r>
        <w:rPr>
          <w:b/>
        </w:rPr>
        <w:t>Institutional Learning Outcome (ILO):  Personal and Professional Development</w:t>
      </w:r>
    </w:p>
    <w:p w14:paraId="535F7D44" w14:textId="2186A04D" w:rsidR="00965438" w:rsidRDefault="00965438" w:rsidP="006A00DF">
      <w:pPr>
        <w:ind w:left="360"/>
        <w:sectPr w:rsidR="00965438">
          <w:pgSz w:w="12240" w:h="15840"/>
          <w:pgMar w:top="1440" w:right="1440" w:bottom="1440" w:left="1440" w:header="720" w:footer="720" w:gutter="0"/>
          <w:cols w:space="720"/>
          <w:docGrid w:linePitch="360"/>
        </w:sectPr>
      </w:pPr>
      <w:r>
        <w:t xml:space="preserve">Ten CLOs for four different Reading classes were referenced against four ILOs in the “Personal and Professional Development” category, and the Reading Department’s cumulative assessment number was near 90%.  </w:t>
      </w:r>
      <w:r w:rsidR="00A06BB4">
        <w:t>Many of the sub-categories of this ILO — cooperation, collaboration, negotiation, group decision making, dependability, judgement, etc. — are incorporated into classroom assignments, in-class activit</w:t>
      </w:r>
      <w:r w:rsidR="00802C9E">
        <w:t xml:space="preserve">ies, and group work and are reflected in the high assessment numbers.  The Reading faculty is cognizant of the benefits of collaborative work as </w:t>
      </w:r>
      <w:r w:rsidR="008A25A2">
        <w:t xml:space="preserve">preparation for the work place </w:t>
      </w:r>
      <w:r w:rsidR="00802C9E">
        <w:t>and purposefully emphasize</w:t>
      </w:r>
      <w:r w:rsidR="008A25A2">
        <w:t>s</w:t>
      </w:r>
      <w:r w:rsidR="00802C9E">
        <w:t xml:space="preserve"> cooperation and student interaction as part of its pedagogical strateg</w:t>
      </w:r>
      <w:r w:rsidR="008A25A2">
        <w:t>y</w:t>
      </w:r>
      <w:r w:rsidR="00802C9E">
        <w:t>.  The department is satisfied with the assessment result</w:t>
      </w:r>
      <w:r w:rsidR="008A25A2">
        <w:t>s</w:t>
      </w:r>
      <w:r w:rsidR="00802C9E">
        <w:t xml:space="preserve"> reflected in this ILO.</w:t>
      </w:r>
    </w:p>
    <w:p w14:paraId="62916389" w14:textId="4289B0F0" w:rsidR="007F1136" w:rsidRPr="00223DF7"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42062073" w14:textId="77777777" w:rsidR="00223DF7" w:rsidRDefault="00223DF7" w:rsidP="00223DF7">
      <w:pPr>
        <w:pStyle w:val="ListParagraph"/>
      </w:pPr>
    </w:p>
    <w:p w14:paraId="3934F4A3" w14:textId="652A6B70" w:rsidR="00140AC5" w:rsidRDefault="00223DF7" w:rsidP="00223DF7">
      <w:r w:rsidRPr="00027DB6">
        <w:rPr>
          <w:b/>
        </w:rPr>
        <w:t>Changes to CLO statements:</w:t>
      </w:r>
      <w:r>
        <w:t xml:space="preserve">  </w:t>
      </w:r>
      <w:r w:rsidR="00D47E34">
        <w:t xml:space="preserve">CLO statements for Reading </w:t>
      </w:r>
      <w:r w:rsidR="009B01D6">
        <w:t>82</w:t>
      </w:r>
      <w:r w:rsidR="00D47E34">
        <w:t xml:space="preserve"> and Reading 184 were modified during the last assessment cycle, and t</w:t>
      </w:r>
      <w:r>
        <w:t xml:space="preserve">he Reading faculty discusses CLO results </w:t>
      </w:r>
      <w:r w:rsidR="00D47E34">
        <w:t xml:space="preserve">and teaching strategies </w:t>
      </w:r>
      <w:r>
        <w:t xml:space="preserve">at monthly departmental meetings.  The </w:t>
      </w:r>
      <w:r w:rsidR="00D47E34">
        <w:t>Reading department maintains a robust mentoring program, and all new faculty members (adjunct or full time) are introduced to the teaching materials and teaching strategies that contribute to the high assessment numbers.  T</w:t>
      </w:r>
      <w:r>
        <w:t xml:space="preserve">he Reading Department is currently satisfied with the results of </w:t>
      </w:r>
      <w:r w:rsidR="00140AC5">
        <w:t>all CLO assessment outcomes from Reading 40, Reading 82, Reading 184, and Spelling 32.</w:t>
      </w:r>
      <w:r>
        <w:t xml:space="preserve"> </w:t>
      </w:r>
      <w:r w:rsidR="00140AC5">
        <w:t xml:space="preserve"> </w:t>
      </w:r>
    </w:p>
    <w:p w14:paraId="4D85C23C" w14:textId="1DA652E2" w:rsidR="00140AC5" w:rsidRDefault="00223DF7" w:rsidP="00223DF7">
      <w:r w:rsidRPr="00BE7EA6">
        <w:rPr>
          <w:b/>
        </w:rPr>
        <w:t>Improvements in teaching/course materials:</w:t>
      </w:r>
      <w:r>
        <w:t xml:space="preserve">  The Reading </w:t>
      </w:r>
      <w:r w:rsidR="009B01D6">
        <w:t>courses function as a logical transition between the ESL sequence and the English sequence.  Consequently, the Reading D</w:t>
      </w:r>
      <w:r>
        <w:t xml:space="preserve">epartment </w:t>
      </w:r>
      <w:r w:rsidR="009B01D6">
        <w:t xml:space="preserve">and the </w:t>
      </w:r>
      <w:r>
        <w:t xml:space="preserve">ESL </w:t>
      </w:r>
      <w:r w:rsidR="009B01D6">
        <w:t>D</w:t>
      </w:r>
      <w:r>
        <w:t xml:space="preserve">epartment </w:t>
      </w:r>
      <w:r w:rsidR="009B01D6">
        <w:t xml:space="preserve">have on ongoing discussion about teaching </w:t>
      </w:r>
      <w:r>
        <w:t>strategies</w:t>
      </w:r>
      <w:r w:rsidR="00140AC5">
        <w:t>, as both departments share a number of the same students</w:t>
      </w:r>
      <w:r w:rsidR="009B01D6">
        <w:t xml:space="preserve"> with the same kinds of comprehension and vocabulary issues</w:t>
      </w:r>
      <w:r w:rsidR="00140AC5">
        <w:t xml:space="preserve">.  </w:t>
      </w:r>
    </w:p>
    <w:p w14:paraId="2E8E1884" w14:textId="1A60BC15" w:rsidR="00223DF7" w:rsidRPr="007F1136" w:rsidRDefault="009B01D6" w:rsidP="00223DF7">
      <w:r>
        <w:t>Like many programs on campus, t</w:t>
      </w:r>
      <w:r w:rsidR="00140AC5">
        <w:t xml:space="preserve">he Reading Department </w:t>
      </w:r>
      <w:r>
        <w:t xml:space="preserve">is trending towards a more technology based delivery of course content, and many of the textbook publishers offer an online component </w:t>
      </w:r>
      <w:r w:rsidR="00823B66">
        <w:t>for additional instruction and practice.  The Reading Department endeavors to stay abreast of these trends by offering a Blackboard component to most of its classes, and m</w:t>
      </w:r>
      <w:r w:rsidR="00AC5D5B">
        <w:t>any Reading instructors (both full time and adjunct) have developed, or are in the process of developing, online versions of Reading 82 and Reading 184.</w:t>
      </w:r>
      <w:r w:rsidR="00823B66">
        <w:t xml:space="preserve">  There are no plans at this point to create an online version of Reading 40, as the faculty believes Reading 40 students benefit more from a face-to-face experience.</w:t>
      </w:r>
    </w:p>
    <w:p w14:paraId="66541067" w14:textId="77777777" w:rsidR="00223DF7" w:rsidRPr="007F1136" w:rsidRDefault="00223DF7" w:rsidP="00223DF7">
      <w:pPr>
        <w:pStyle w:val="ListParagraph"/>
        <w:ind w:left="360"/>
        <w:contextualSpacing w:val="0"/>
      </w:pP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1E3F2FAC" w14:textId="77777777" w:rsidR="00AC5D5B" w:rsidRDefault="00AC5D5B" w:rsidP="00AC5D5B">
      <w:pPr>
        <w:rPr>
          <w:b/>
        </w:rPr>
      </w:pPr>
    </w:p>
    <w:p w14:paraId="079681F1" w14:textId="3A5F7641" w:rsidR="00AC5D5B" w:rsidRDefault="00AC5D5B" w:rsidP="00AC5D5B">
      <w:r>
        <w:rPr>
          <w:b/>
        </w:rPr>
        <w:t xml:space="preserve">Updating </w:t>
      </w:r>
      <w:r w:rsidRPr="00027DB6">
        <w:rPr>
          <w:b/>
        </w:rPr>
        <w:t>CLO statements</w:t>
      </w:r>
      <w:r>
        <w:rPr>
          <w:b/>
        </w:rPr>
        <w:t xml:space="preserve"> and Modifying Course Outlines</w:t>
      </w:r>
      <w:r w:rsidRPr="00027DB6">
        <w:rPr>
          <w:b/>
        </w:rPr>
        <w:t>:</w:t>
      </w:r>
      <w:r>
        <w:t xml:space="preserve">  The Reading faculty discusses CLO results at monthly departmental meetings.  The faculty periodically reviews classroom materials, discusses teaching strategies, and analyzes CLO statements.  </w:t>
      </w:r>
      <w:r w:rsidR="00BA1CAD">
        <w:t>Modifications were made to CLO statements in both Reading 40 and Reading 184 during the last assessment cycle.</w:t>
      </w:r>
      <w:r>
        <w:t xml:space="preserve">  </w:t>
      </w:r>
    </w:p>
    <w:p w14:paraId="3403B42C" w14:textId="77777777" w:rsidR="00AC5D5B" w:rsidRDefault="00AC5D5B" w:rsidP="00AC5D5B">
      <w:r>
        <w:t xml:space="preserve">All Reading courses are scheduled for a curriculum review in the fall of 2015.  The Reading faculty is considering a number of revisions to each of the course outlines.  Once those revision are approved through the curriculum process, faculty plans to revise CLO statements in an effort to broaden the scope of the assessment process.  </w:t>
      </w:r>
    </w:p>
    <w:p w14:paraId="0D23C99D" w14:textId="64CD59E0" w:rsidR="00AC5D5B" w:rsidRDefault="00AC5D5B" w:rsidP="00AC5D5B">
      <w:r w:rsidRPr="00BE7EA6">
        <w:rPr>
          <w:b/>
        </w:rPr>
        <w:t>I</w:t>
      </w:r>
      <w:r w:rsidR="00BA1CAD">
        <w:rPr>
          <w:b/>
        </w:rPr>
        <w:t>nstruction efforts and resources</w:t>
      </w:r>
      <w:r w:rsidRPr="00BE7EA6">
        <w:rPr>
          <w:b/>
        </w:rPr>
        <w:t>:</w:t>
      </w:r>
      <w:r>
        <w:t xml:space="preserve">  The Reading </w:t>
      </w:r>
      <w:r w:rsidR="00BA1CAD">
        <w:t>D</w:t>
      </w:r>
      <w:r>
        <w:t xml:space="preserve">epartment meets periodically with the ESL department to discuss teaching strategies, as both departments share a number of the same students.  </w:t>
      </w:r>
      <w:r w:rsidR="00BA1CAD">
        <w:t xml:space="preserve">The Reading faculty periodically reviews and evaluates new teaching materials and keeps an updated list of appropriate comprehension texts, vocabulary texts, and novels for the various levels of Reading instruction </w:t>
      </w:r>
    </w:p>
    <w:p w14:paraId="30FA4668" w14:textId="77777777" w:rsidR="00AC5D5B" w:rsidRPr="007F1136" w:rsidRDefault="00AC5D5B" w:rsidP="00AC5D5B">
      <w:r>
        <w:t>The Reading Department has included in its current program review a request for new computers in one of the computer labs.  As more technology and online content is incorporated into the curriculum, the need for technology resources has increased for the department.  Many Reading instructors (both full time and adjunct) have developed, or are in the process of developing, online versions of Reading 82 and Reading 184.</w:t>
      </w:r>
    </w:p>
    <w:p w14:paraId="0C6BCA5E" w14:textId="77777777" w:rsidR="00AC5D5B" w:rsidRPr="007F1136" w:rsidRDefault="00AC5D5B" w:rsidP="00AC5D5B">
      <w:pPr>
        <w:pStyle w:val="ListParagraph"/>
        <w:ind w:left="360"/>
        <w:contextualSpacing w:val="0"/>
      </w:pPr>
    </w:p>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93BB" w14:textId="77777777" w:rsidR="00B6250C" w:rsidRDefault="00B6250C" w:rsidP="002A3C9D">
      <w:pPr>
        <w:spacing w:after="0" w:line="240" w:lineRule="auto"/>
      </w:pPr>
      <w:r>
        <w:separator/>
      </w:r>
    </w:p>
  </w:endnote>
  <w:endnote w:type="continuationSeparator" w:id="0">
    <w:p w14:paraId="775CD9F4" w14:textId="77777777" w:rsidR="00B6250C" w:rsidRDefault="00B6250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4B278C">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5765" w14:textId="77777777" w:rsidR="00B6250C" w:rsidRDefault="00B6250C" w:rsidP="002A3C9D">
      <w:pPr>
        <w:spacing w:after="0" w:line="240" w:lineRule="auto"/>
      </w:pPr>
      <w:r>
        <w:separator/>
      </w:r>
    </w:p>
  </w:footnote>
  <w:footnote w:type="continuationSeparator" w:id="0">
    <w:p w14:paraId="16BF71D6" w14:textId="77777777" w:rsidR="00B6250C" w:rsidRDefault="00B6250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48E7F326" w:rsidR="00133F7E" w:rsidRDefault="00A245B7" w:rsidP="006B0739">
    <w:pPr>
      <w:pStyle w:val="Header"/>
      <w:rPr>
        <w:b/>
        <w:sz w:val="30"/>
        <w:szCs w:val="30"/>
      </w:rPr>
    </w:pPr>
    <w:r>
      <w:rPr>
        <w:b/>
        <w:sz w:val="30"/>
        <w:szCs w:val="30"/>
      </w:rPr>
      <w:t>READING</w:t>
    </w:r>
  </w:p>
  <w:p w14:paraId="564BF42C" w14:textId="0695E2D0"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63DE8">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545FAD"/>
    <w:multiLevelType w:val="hybridMultilevel"/>
    <w:tmpl w:val="68B6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53205"/>
    <w:multiLevelType w:val="hybridMultilevel"/>
    <w:tmpl w:val="222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16DCB"/>
    <w:rsid w:val="000244C3"/>
    <w:rsid w:val="00033C0A"/>
    <w:rsid w:val="000913DE"/>
    <w:rsid w:val="000C1A47"/>
    <w:rsid w:val="000C3F91"/>
    <w:rsid w:val="000E5108"/>
    <w:rsid w:val="000F5C3B"/>
    <w:rsid w:val="00133F7E"/>
    <w:rsid w:val="00140AC5"/>
    <w:rsid w:val="0015041A"/>
    <w:rsid w:val="00157398"/>
    <w:rsid w:val="00195371"/>
    <w:rsid w:val="001B3EC4"/>
    <w:rsid w:val="001C3DD3"/>
    <w:rsid w:val="001E2794"/>
    <w:rsid w:val="001F18A3"/>
    <w:rsid w:val="00223DF7"/>
    <w:rsid w:val="002473E0"/>
    <w:rsid w:val="002A3C9D"/>
    <w:rsid w:val="002B545D"/>
    <w:rsid w:val="002D3F2B"/>
    <w:rsid w:val="00347B6F"/>
    <w:rsid w:val="00376335"/>
    <w:rsid w:val="003B0525"/>
    <w:rsid w:val="003E3EAB"/>
    <w:rsid w:val="004960D9"/>
    <w:rsid w:val="004B0CAE"/>
    <w:rsid w:val="004B278C"/>
    <w:rsid w:val="004D655E"/>
    <w:rsid w:val="004D6821"/>
    <w:rsid w:val="004F1DDE"/>
    <w:rsid w:val="00504F8F"/>
    <w:rsid w:val="0052036C"/>
    <w:rsid w:val="00533700"/>
    <w:rsid w:val="005514C4"/>
    <w:rsid w:val="00563DE8"/>
    <w:rsid w:val="00572E77"/>
    <w:rsid w:val="00584B10"/>
    <w:rsid w:val="0059199C"/>
    <w:rsid w:val="005B2FCF"/>
    <w:rsid w:val="005C2F5A"/>
    <w:rsid w:val="005E06A8"/>
    <w:rsid w:val="006116DA"/>
    <w:rsid w:val="006447B7"/>
    <w:rsid w:val="0064590C"/>
    <w:rsid w:val="006636EC"/>
    <w:rsid w:val="006A00DF"/>
    <w:rsid w:val="006B0739"/>
    <w:rsid w:val="006C1CCA"/>
    <w:rsid w:val="006E6D69"/>
    <w:rsid w:val="006E7D2D"/>
    <w:rsid w:val="006F1752"/>
    <w:rsid w:val="00776713"/>
    <w:rsid w:val="007A6F6D"/>
    <w:rsid w:val="007E4A39"/>
    <w:rsid w:val="007F1136"/>
    <w:rsid w:val="00802C9E"/>
    <w:rsid w:val="00823B66"/>
    <w:rsid w:val="00825696"/>
    <w:rsid w:val="00843C35"/>
    <w:rsid w:val="008466B7"/>
    <w:rsid w:val="00855589"/>
    <w:rsid w:val="00856452"/>
    <w:rsid w:val="00861C96"/>
    <w:rsid w:val="00872AAF"/>
    <w:rsid w:val="00884773"/>
    <w:rsid w:val="008A25A2"/>
    <w:rsid w:val="008A605E"/>
    <w:rsid w:val="008D06EE"/>
    <w:rsid w:val="008D1567"/>
    <w:rsid w:val="008D5DE8"/>
    <w:rsid w:val="0090245C"/>
    <w:rsid w:val="0093088E"/>
    <w:rsid w:val="00935E71"/>
    <w:rsid w:val="00956C81"/>
    <w:rsid w:val="00965438"/>
    <w:rsid w:val="00965B0B"/>
    <w:rsid w:val="00982FFB"/>
    <w:rsid w:val="009A27FE"/>
    <w:rsid w:val="009A53BC"/>
    <w:rsid w:val="009B01D6"/>
    <w:rsid w:val="009C79E2"/>
    <w:rsid w:val="00A06BB4"/>
    <w:rsid w:val="00A245B7"/>
    <w:rsid w:val="00A348A7"/>
    <w:rsid w:val="00A37CD5"/>
    <w:rsid w:val="00A40FFF"/>
    <w:rsid w:val="00A73224"/>
    <w:rsid w:val="00A94FA2"/>
    <w:rsid w:val="00AA09C3"/>
    <w:rsid w:val="00AA35EF"/>
    <w:rsid w:val="00AC5D5B"/>
    <w:rsid w:val="00AF4042"/>
    <w:rsid w:val="00AF4FFF"/>
    <w:rsid w:val="00B249A0"/>
    <w:rsid w:val="00B375E3"/>
    <w:rsid w:val="00B474B4"/>
    <w:rsid w:val="00B515A3"/>
    <w:rsid w:val="00B6250C"/>
    <w:rsid w:val="00B67F74"/>
    <w:rsid w:val="00B85789"/>
    <w:rsid w:val="00B91B99"/>
    <w:rsid w:val="00BA1CAD"/>
    <w:rsid w:val="00BA6523"/>
    <w:rsid w:val="00BB7786"/>
    <w:rsid w:val="00BC2F6C"/>
    <w:rsid w:val="00BE0F86"/>
    <w:rsid w:val="00C91011"/>
    <w:rsid w:val="00C93D93"/>
    <w:rsid w:val="00CD26AE"/>
    <w:rsid w:val="00CE31D9"/>
    <w:rsid w:val="00CE6B19"/>
    <w:rsid w:val="00D11FDD"/>
    <w:rsid w:val="00D26A5C"/>
    <w:rsid w:val="00D33DF2"/>
    <w:rsid w:val="00D353BF"/>
    <w:rsid w:val="00D4695E"/>
    <w:rsid w:val="00D47E34"/>
    <w:rsid w:val="00D5782B"/>
    <w:rsid w:val="00D644F4"/>
    <w:rsid w:val="00D86767"/>
    <w:rsid w:val="00DB3BF5"/>
    <w:rsid w:val="00DC6907"/>
    <w:rsid w:val="00E026C3"/>
    <w:rsid w:val="00E121A3"/>
    <w:rsid w:val="00E35AE1"/>
    <w:rsid w:val="00E80226"/>
    <w:rsid w:val="00EA7D4A"/>
    <w:rsid w:val="00ED4DFB"/>
    <w:rsid w:val="00ED7D9B"/>
    <w:rsid w:val="00EF0E70"/>
    <w:rsid w:val="00EF5C7A"/>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F177974F-28C6-4763-8493-1B1AF60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478">
      <w:bodyDiv w:val="1"/>
      <w:marLeft w:val="0"/>
      <w:marRight w:val="0"/>
      <w:marTop w:val="0"/>
      <w:marBottom w:val="0"/>
      <w:divBdr>
        <w:top w:val="none" w:sz="0" w:space="0" w:color="auto"/>
        <w:left w:val="none" w:sz="0" w:space="0" w:color="auto"/>
        <w:bottom w:val="none" w:sz="0" w:space="0" w:color="auto"/>
        <w:right w:val="none" w:sz="0" w:space="0" w:color="auto"/>
      </w:divBdr>
      <w:divsChild>
        <w:div w:id="1585993054">
          <w:marLeft w:val="0"/>
          <w:marRight w:val="0"/>
          <w:marTop w:val="0"/>
          <w:marBottom w:val="0"/>
          <w:divBdr>
            <w:top w:val="none" w:sz="0" w:space="0" w:color="auto"/>
            <w:left w:val="none" w:sz="0" w:space="0" w:color="auto"/>
            <w:bottom w:val="none" w:sz="0" w:space="0" w:color="auto"/>
            <w:right w:val="none" w:sz="0" w:space="0" w:color="auto"/>
          </w:divBdr>
        </w:div>
        <w:div w:id="653074017">
          <w:marLeft w:val="0"/>
          <w:marRight w:val="0"/>
          <w:marTop w:val="0"/>
          <w:marBottom w:val="0"/>
          <w:divBdr>
            <w:top w:val="none" w:sz="0" w:space="0" w:color="auto"/>
            <w:left w:val="none" w:sz="0" w:space="0" w:color="auto"/>
            <w:bottom w:val="none" w:sz="0" w:space="0" w:color="auto"/>
            <w:right w:val="none" w:sz="0" w:space="0" w:color="auto"/>
          </w:divBdr>
        </w:div>
        <w:div w:id="1928686038">
          <w:marLeft w:val="0"/>
          <w:marRight w:val="0"/>
          <w:marTop w:val="0"/>
          <w:marBottom w:val="0"/>
          <w:divBdr>
            <w:top w:val="none" w:sz="0" w:space="0" w:color="auto"/>
            <w:left w:val="none" w:sz="0" w:space="0" w:color="auto"/>
            <w:bottom w:val="none" w:sz="0" w:space="0" w:color="auto"/>
            <w:right w:val="none" w:sz="0" w:space="0" w:color="auto"/>
          </w:divBdr>
        </w:div>
        <w:div w:id="1885828793">
          <w:marLeft w:val="0"/>
          <w:marRight w:val="0"/>
          <w:marTop w:val="0"/>
          <w:marBottom w:val="0"/>
          <w:divBdr>
            <w:top w:val="none" w:sz="0" w:space="0" w:color="auto"/>
            <w:left w:val="none" w:sz="0" w:space="0" w:color="auto"/>
            <w:bottom w:val="none" w:sz="0" w:space="0" w:color="auto"/>
            <w:right w:val="none" w:sz="0" w:space="0" w:color="auto"/>
          </w:divBdr>
        </w:div>
        <w:div w:id="1166633284">
          <w:marLeft w:val="0"/>
          <w:marRight w:val="0"/>
          <w:marTop w:val="0"/>
          <w:marBottom w:val="0"/>
          <w:divBdr>
            <w:top w:val="none" w:sz="0" w:space="0" w:color="auto"/>
            <w:left w:val="none" w:sz="0" w:space="0" w:color="auto"/>
            <w:bottom w:val="none" w:sz="0" w:space="0" w:color="auto"/>
            <w:right w:val="none" w:sz="0" w:space="0" w:color="auto"/>
          </w:divBdr>
        </w:div>
      </w:divsChild>
    </w:div>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30092393">
      <w:bodyDiv w:val="1"/>
      <w:marLeft w:val="0"/>
      <w:marRight w:val="0"/>
      <w:marTop w:val="0"/>
      <w:marBottom w:val="0"/>
      <w:divBdr>
        <w:top w:val="none" w:sz="0" w:space="0" w:color="auto"/>
        <w:left w:val="none" w:sz="0" w:space="0" w:color="auto"/>
        <w:bottom w:val="none" w:sz="0" w:space="0" w:color="auto"/>
        <w:right w:val="none" w:sz="0" w:space="0" w:color="auto"/>
      </w:divBdr>
      <w:divsChild>
        <w:div w:id="587078905">
          <w:marLeft w:val="0"/>
          <w:marRight w:val="0"/>
          <w:marTop w:val="0"/>
          <w:marBottom w:val="0"/>
          <w:divBdr>
            <w:top w:val="none" w:sz="0" w:space="0" w:color="auto"/>
            <w:left w:val="none" w:sz="0" w:space="0" w:color="auto"/>
            <w:bottom w:val="none" w:sz="0" w:space="0" w:color="auto"/>
            <w:right w:val="none" w:sz="0" w:space="0" w:color="auto"/>
          </w:divBdr>
        </w:div>
        <w:div w:id="2090301631">
          <w:marLeft w:val="0"/>
          <w:marRight w:val="0"/>
          <w:marTop w:val="0"/>
          <w:marBottom w:val="0"/>
          <w:divBdr>
            <w:top w:val="none" w:sz="0" w:space="0" w:color="auto"/>
            <w:left w:val="none" w:sz="0" w:space="0" w:color="auto"/>
            <w:bottom w:val="none" w:sz="0" w:space="0" w:color="auto"/>
            <w:right w:val="none" w:sz="0" w:space="0" w:color="auto"/>
          </w:divBdr>
        </w:div>
        <w:div w:id="1382554675">
          <w:marLeft w:val="0"/>
          <w:marRight w:val="0"/>
          <w:marTop w:val="0"/>
          <w:marBottom w:val="0"/>
          <w:divBdr>
            <w:top w:val="none" w:sz="0" w:space="0" w:color="auto"/>
            <w:left w:val="none" w:sz="0" w:space="0" w:color="auto"/>
            <w:bottom w:val="none" w:sz="0" w:space="0" w:color="auto"/>
            <w:right w:val="none" w:sz="0" w:space="0" w:color="auto"/>
          </w:divBdr>
        </w:div>
        <w:div w:id="1431509192">
          <w:marLeft w:val="0"/>
          <w:marRight w:val="0"/>
          <w:marTop w:val="0"/>
          <w:marBottom w:val="0"/>
          <w:divBdr>
            <w:top w:val="none" w:sz="0" w:space="0" w:color="auto"/>
            <w:left w:val="none" w:sz="0" w:space="0" w:color="auto"/>
            <w:bottom w:val="none" w:sz="0" w:space="0" w:color="auto"/>
            <w:right w:val="none" w:sz="0" w:space="0" w:color="auto"/>
          </w:divBdr>
        </w:div>
        <w:div w:id="773089475">
          <w:marLeft w:val="0"/>
          <w:marRight w:val="0"/>
          <w:marTop w:val="0"/>
          <w:marBottom w:val="0"/>
          <w:divBdr>
            <w:top w:val="none" w:sz="0" w:space="0" w:color="auto"/>
            <w:left w:val="none" w:sz="0" w:space="0" w:color="auto"/>
            <w:bottom w:val="none" w:sz="0" w:space="0" w:color="auto"/>
            <w:right w:val="none" w:sz="0" w:space="0" w:color="auto"/>
          </w:divBdr>
        </w:div>
        <w:div w:id="829906535">
          <w:marLeft w:val="0"/>
          <w:marRight w:val="0"/>
          <w:marTop w:val="0"/>
          <w:marBottom w:val="0"/>
          <w:divBdr>
            <w:top w:val="none" w:sz="0" w:space="0" w:color="auto"/>
            <w:left w:val="none" w:sz="0" w:space="0" w:color="auto"/>
            <w:bottom w:val="none" w:sz="0" w:space="0" w:color="auto"/>
            <w:right w:val="none" w:sz="0" w:space="0" w:color="auto"/>
          </w:divBdr>
        </w:div>
        <w:div w:id="1183517150">
          <w:marLeft w:val="0"/>
          <w:marRight w:val="0"/>
          <w:marTop w:val="0"/>
          <w:marBottom w:val="0"/>
          <w:divBdr>
            <w:top w:val="none" w:sz="0" w:space="0" w:color="auto"/>
            <w:left w:val="none" w:sz="0" w:space="0" w:color="auto"/>
            <w:bottom w:val="none" w:sz="0" w:space="0" w:color="auto"/>
            <w:right w:val="none" w:sz="0" w:space="0" w:color="auto"/>
          </w:divBdr>
        </w:div>
        <w:div w:id="547687941">
          <w:marLeft w:val="0"/>
          <w:marRight w:val="0"/>
          <w:marTop w:val="0"/>
          <w:marBottom w:val="0"/>
          <w:divBdr>
            <w:top w:val="none" w:sz="0" w:space="0" w:color="auto"/>
            <w:left w:val="none" w:sz="0" w:space="0" w:color="auto"/>
            <w:bottom w:val="none" w:sz="0" w:space="0" w:color="auto"/>
            <w:right w:val="none" w:sz="0" w:space="0" w:color="auto"/>
          </w:divBdr>
        </w:div>
        <w:div w:id="1697271409">
          <w:marLeft w:val="0"/>
          <w:marRight w:val="0"/>
          <w:marTop w:val="0"/>
          <w:marBottom w:val="0"/>
          <w:divBdr>
            <w:top w:val="none" w:sz="0" w:space="0" w:color="auto"/>
            <w:left w:val="none" w:sz="0" w:space="0" w:color="auto"/>
            <w:bottom w:val="none" w:sz="0" w:space="0" w:color="auto"/>
            <w:right w:val="none" w:sz="0" w:space="0" w:color="auto"/>
          </w:divBdr>
        </w:div>
        <w:div w:id="1991518226">
          <w:marLeft w:val="0"/>
          <w:marRight w:val="0"/>
          <w:marTop w:val="0"/>
          <w:marBottom w:val="0"/>
          <w:divBdr>
            <w:top w:val="none" w:sz="0" w:space="0" w:color="auto"/>
            <w:left w:val="none" w:sz="0" w:space="0" w:color="auto"/>
            <w:bottom w:val="none" w:sz="0" w:space="0" w:color="auto"/>
            <w:right w:val="none" w:sz="0" w:space="0" w:color="auto"/>
          </w:divBdr>
        </w:div>
        <w:div w:id="1253276852">
          <w:marLeft w:val="0"/>
          <w:marRight w:val="0"/>
          <w:marTop w:val="0"/>
          <w:marBottom w:val="0"/>
          <w:divBdr>
            <w:top w:val="none" w:sz="0" w:space="0" w:color="auto"/>
            <w:left w:val="none" w:sz="0" w:space="0" w:color="auto"/>
            <w:bottom w:val="none" w:sz="0" w:space="0" w:color="auto"/>
            <w:right w:val="none" w:sz="0" w:space="0" w:color="auto"/>
          </w:divBdr>
        </w:div>
        <w:div w:id="821040248">
          <w:marLeft w:val="0"/>
          <w:marRight w:val="0"/>
          <w:marTop w:val="0"/>
          <w:marBottom w:val="0"/>
          <w:divBdr>
            <w:top w:val="none" w:sz="0" w:space="0" w:color="auto"/>
            <w:left w:val="none" w:sz="0" w:space="0" w:color="auto"/>
            <w:bottom w:val="none" w:sz="0" w:space="0" w:color="auto"/>
            <w:right w:val="none" w:sz="0" w:space="0" w:color="auto"/>
          </w:divBdr>
        </w:div>
        <w:div w:id="1144085674">
          <w:marLeft w:val="0"/>
          <w:marRight w:val="0"/>
          <w:marTop w:val="0"/>
          <w:marBottom w:val="0"/>
          <w:divBdr>
            <w:top w:val="none" w:sz="0" w:space="0" w:color="auto"/>
            <w:left w:val="none" w:sz="0" w:space="0" w:color="auto"/>
            <w:bottom w:val="none" w:sz="0" w:space="0" w:color="auto"/>
            <w:right w:val="none" w:sz="0" w:space="0" w:color="auto"/>
          </w:divBdr>
        </w:div>
        <w:div w:id="2056657564">
          <w:marLeft w:val="0"/>
          <w:marRight w:val="0"/>
          <w:marTop w:val="0"/>
          <w:marBottom w:val="0"/>
          <w:divBdr>
            <w:top w:val="none" w:sz="0" w:space="0" w:color="auto"/>
            <w:left w:val="none" w:sz="0" w:space="0" w:color="auto"/>
            <w:bottom w:val="none" w:sz="0" w:space="0" w:color="auto"/>
            <w:right w:val="none" w:sz="0" w:space="0" w:color="auto"/>
          </w:divBdr>
        </w:div>
        <w:div w:id="1970016635">
          <w:marLeft w:val="0"/>
          <w:marRight w:val="0"/>
          <w:marTop w:val="0"/>
          <w:marBottom w:val="0"/>
          <w:divBdr>
            <w:top w:val="none" w:sz="0" w:space="0" w:color="auto"/>
            <w:left w:val="none" w:sz="0" w:space="0" w:color="auto"/>
            <w:bottom w:val="none" w:sz="0" w:space="0" w:color="auto"/>
            <w:right w:val="none" w:sz="0" w:space="0" w:color="auto"/>
          </w:divBdr>
        </w:div>
        <w:div w:id="608050541">
          <w:marLeft w:val="0"/>
          <w:marRight w:val="0"/>
          <w:marTop w:val="0"/>
          <w:marBottom w:val="0"/>
          <w:divBdr>
            <w:top w:val="none" w:sz="0" w:space="0" w:color="auto"/>
            <w:left w:val="none" w:sz="0" w:space="0" w:color="auto"/>
            <w:bottom w:val="none" w:sz="0" w:space="0" w:color="auto"/>
            <w:right w:val="none" w:sz="0" w:space="0" w:color="auto"/>
          </w:divBdr>
        </w:div>
      </w:divsChild>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624D-810F-4224-84C5-24E3E7D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2015-05-26T13:18:00Z</cp:lastPrinted>
  <dcterms:created xsi:type="dcterms:W3CDTF">2015-06-09T20:56:00Z</dcterms:created>
  <dcterms:modified xsi:type="dcterms:W3CDTF">2015-06-09T20:56:00Z</dcterms:modified>
</cp:coreProperties>
</file>